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39" w:rsidRPr="000D5823" w:rsidRDefault="00690039" w:rsidP="00690039">
      <w:pPr>
        <w:autoSpaceDE w:val="0"/>
        <w:autoSpaceDN w:val="0"/>
        <w:adjustRightInd w:val="0"/>
        <w:spacing w:line="360" w:lineRule="auto"/>
        <w:jc w:val="center"/>
        <w:rPr>
          <w:b/>
          <w:sz w:val="28"/>
          <w:szCs w:val="28"/>
        </w:rPr>
      </w:pPr>
      <w:r w:rsidRPr="000D5823">
        <w:rPr>
          <w:b/>
          <w:sz w:val="28"/>
          <w:szCs w:val="28"/>
        </w:rPr>
        <w:t>THE EUROPEAN SUSTAINABLE COMPETITIVENESS PROGRAMME FOR NORTHERN IRELAND 2007-2013</w:t>
      </w:r>
    </w:p>
    <w:p w:rsidR="00690039" w:rsidRPr="00CA3805" w:rsidRDefault="00690039" w:rsidP="00690039">
      <w:pPr>
        <w:autoSpaceDE w:val="0"/>
        <w:autoSpaceDN w:val="0"/>
        <w:adjustRightInd w:val="0"/>
        <w:spacing w:line="360" w:lineRule="auto"/>
        <w:jc w:val="center"/>
        <w:rPr>
          <w:b/>
          <w:sz w:val="28"/>
          <w:szCs w:val="28"/>
        </w:rPr>
      </w:pPr>
    </w:p>
    <w:p w:rsidR="003D5601" w:rsidRPr="00CA3805" w:rsidRDefault="00690039" w:rsidP="00690039">
      <w:pPr>
        <w:autoSpaceDE w:val="0"/>
        <w:autoSpaceDN w:val="0"/>
        <w:adjustRightInd w:val="0"/>
        <w:spacing w:line="360" w:lineRule="auto"/>
        <w:jc w:val="center"/>
        <w:rPr>
          <w:b/>
          <w:sz w:val="28"/>
          <w:szCs w:val="28"/>
        </w:rPr>
      </w:pPr>
      <w:r w:rsidRPr="00CA3805">
        <w:rPr>
          <w:b/>
          <w:sz w:val="28"/>
          <w:szCs w:val="28"/>
        </w:rPr>
        <w:t xml:space="preserve">MANAGING AUTHORITY GUIDANCE </w:t>
      </w:r>
    </w:p>
    <w:p w:rsidR="003D5601" w:rsidRPr="00CA3805" w:rsidRDefault="003D5601" w:rsidP="00690039">
      <w:pPr>
        <w:autoSpaceDE w:val="0"/>
        <w:autoSpaceDN w:val="0"/>
        <w:adjustRightInd w:val="0"/>
        <w:spacing w:line="360" w:lineRule="auto"/>
        <w:jc w:val="center"/>
        <w:rPr>
          <w:b/>
          <w:sz w:val="28"/>
          <w:szCs w:val="28"/>
        </w:rPr>
      </w:pPr>
    </w:p>
    <w:p w:rsidR="00690039" w:rsidRPr="00CA3805" w:rsidRDefault="00251DFF" w:rsidP="00690039">
      <w:pPr>
        <w:autoSpaceDE w:val="0"/>
        <w:autoSpaceDN w:val="0"/>
        <w:adjustRightInd w:val="0"/>
        <w:spacing w:line="360" w:lineRule="auto"/>
        <w:jc w:val="center"/>
        <w:rPr>
          <w:b/>
          <w:sz w:val="28"/>
          <w:szCs w:val="28"/>
        </w:rPr>
      </w:pPr>
      <w:r w:rsidRPr="00CA3805">
        <w:rPr>
          <w:b/>
          <w:sz w:val="28"/>
          <w:szCs w:val="28"/>
        </w:rPr>
        <w:t>ELIGIBILITY OF HOSPITALITY EXPENDITURE</w:t>
      </w:r>
      <w:r w:rsidR="00690039" w:rsidRPr="00CA3805">
        <w:rPr>
          <w:b/>
          <w:sz w:val="28"/>
          <w:szCs w:val="28"/>
        </w:rPr>
        <w:t xml:space="preserve"> </w:t>
      </w:r>
    </w:p>
    <w:p w:rsidR="00690039" w:rsidRPr="000D5823" w:rsidRDefault="00690039" w:rsidP="00690039"/>
    <w:p w:rsidR="00690039" w:rsidRPr="000D5823" w:rsidRDefault="004769FF" w:rsidP="000D5823">
      <w:pPr>
        <w:spacing w:line="36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6pt;height:86.75pt">
            <v:imagedata r:id="rId7" r:href="rId8"/>
          </v:shape>
        </w:pict>
      </w:r>
    </w:p>
    <w:p w:rsidR="00690039" w:rsidRPr="00B568A0" w:rsidRDefault="00690039" w:rsidP="000D5823">
      <w:pPr>
        <w:spacing w:line="360" w:lineRule="auto"/>
      </w:pPr>
    </w:p>
    <w:p w:rsidR="00690039" w:rsidRPr="00B568A0" w:rsidRDefault="00690039" w:rsidP="000D5823">
      <w:pPr>
        <w:pStyle w:val="Heading3"/>
        <w:spacing w:line="360" w:lineRule="auto"/>
        <w:rPr>
          <w:rFonts w:ascii="Arial" w:hAnsi="Arial" w:cs="Arial"/>
        </w:rPr>
      </w:pPr>
      <w:r w:rsidRPr="00B568A0">
        <w:rPr>
          <w:rFonts w:ascii="Arial" w:hAnsi="Arial" w:cs="Arial"/>
        </w:rPr>
        <w:t>1.0</w:t>
      </w:r>
      <w:r w:rsidR="00B568A0">
        <w:rPr>
          <w:rFonts w:ascii="Arial" w:hAnsi="Arial" w:cs="Arial"/>
        </w:rPr>
        <w:tab/>
      </w:r>
      <w:r w:rsidRPr="00B568A0">
        <w:rPr>
          <w:rFonts w:ascii="Arial" w:hAnsi="Arial" w:cs="Arial"/>
        </w:rPr>
        <w:t>Introduction</w:t>
      </w:r>
    </w:p>
    <w:p w:rsidR="007A38D6" w:rsidRPr="00B568A0" w:rsidRDefault="007A38D6" w:rsidP="00B568A0">
      <w:pPr>
        <w:numPr>
          <w:ilvl w:val="1"/>
          <w:numId w:val="31"/>
        </w:numPr>
        <w:autoSpaceDE w:val="0"/>
        <w:autoSpaceDN w:val="0"/>
        <w:adjustRightInd w:val="0"/>
        <w:spacing w:line="360" w:lineRule="auto"/>
        <w:jc w:val="both"/>
        <w:rPr>
          <w:rFonts w:ascii="Arial" w:hAnsi="Arial" w:cs="Arial"/>
        </w:rPr>
      </w:pPr>
      <w:r w:rsidRPr="00B568A0">
        <w:rPr>
          <w:rFonts w:ascii="Arial" w:hAnsi="Arial" w:cs="Arial"/>
          <w:bCs/>
        </w:rPr>
        <w:t xml:space="preserve">The purpose of this guidance is to provide detail on the eligibility of hospitality within the Sustainable Competitiveness Programme. </w:t>
      </w:r>
      <w:r w:rsidR="003D5601" w:rsidRPr="00B568A0">
        <w:rPr>
          <w:rFonts w:ascii="Arial" w:hAnsi="Arial" w:cs="Arial"/>
          <w:bCs/>
        </w:rPr>
        <w:t>This guidance</w:t>
      </w:r>
      <w:r w:rsidR="00451056" w:rsidRPr="00B568A0">
        <w:rPr>
          <w:rFonts w:ascii="Arial" w:hAnsi="Arial" w:cs="Arial"/>
          <w:bCs/>
        </w:rPr>
        <w:t xml:space="preserve"> </w:t>
      </w:r>
      <w:r w:rsidRPr="00B568A0">
        <w:rPr>
          <w:rFonts w:ascii="Arial" w:hAnsi="Arial" w:cs="Arial"/>
          <w:bCs/>
        </w:rPr>
        <w:t xml:space="preserve">is </w:t>
      </w:r>
      <w:r w:rsidR="00451056" w:rsidRPr="00B568A0">
        <w:rPr>
          <w:rFonts w:ascii="Arial" w:hAnsi="Arial" w:cs="Arial"/>
          <w:bCs/>
        </w:rPr>
        <w:t>based on DETI hospitality guidance</w:t>
      </w:r>
      <w:r w:rsidRPr="00B568A0">
        <w:rPr>
          <w:rFonts w:ascii="Arial" w:hAnsi="Arial" w:cs="Arial"/>
          <w:bCs/>
        </w:rPr>
        <w:t xml:space="preserve"> and </w:t>
      </w:r>
      <w:r w:rsidR="003D5601" w:rsidRPr="00B568A0">
        <w:rPr>
          <w:rFonts w:ascii="Arial" w:hAnsi="Arial" w:cs="Arial"/>
          <w:bCs/>
        </w:rPr>
        <w:t>supplements DFP Guidance Note 5 (Northern Ireland Rules on the Eligibility of Expenditure).</w:t>
      </w:r>
      <w:r w:rsidRPr="00B568A0">
        <w:rPr>
          <w:rFonts w:ascii="Arial" w:hAnsi="Arial" w:cs="Arial"/>
        </w:rPr>
        <w:t xml:space="preserve"> </w:t>
      </w:r>
    </w:p>
    <w:p w:rsidR="007A38D6" w:rsidRPr="00B568A0" w:rsidRDefault="007A38D6" w:rsidP="00B568A0">
      <w:pPr>
        <w:autoSpaceDE w:val="0"/>
        <w:autoSpaceDN w:val="0"/>
        <w:adjustRightInd w:val="0"/>
        <w:spacing w:line="360" w:lineRule="auto"/>
        <w:ind w:left="360"/>
        <w:jc w:val="both"/>
        <w:rPr>
          <w:rFonts w:ascii="Arial" w:hAnsi="Arial" w:cs="Arial"/>
          <w:bCs/>
        </w:rPr>
      </w:pPr>
    </w:p>
    <w:p w:rsidR="003D5601" w:rsidRPr="00B568A0" w:rsidRDefault="007A38D6" w:rsidP="00B568A0">
      <w:pPr>
        <w:numPr>
          <w:ilvl w:val="1"/>
          <w:numId w:val="31"/>
        </w:numPr>
        <w:autoSpaceDE w:val="0"/>
        <w:autoSpaceDN w:val="0"/>
        <w:adjustRightInd w:val="0"/>
        <w:spacing w:line="360" w:lineRule="auto"/>
        <w:jc w:val="both"/>
        <w:rPr>
          <w:rFonts w:ascii="Arial" w:hAnsi="Arial" w:cs="Arial"/>
          <w:bCs/>
        </w:rPr>
      </w:pPr>
      <w:r w:rsidRPr="00B568A0">
        <w:rPr>
          <w:rFonts w:ascii="Arial" w:hAnsi="Arial" w:cs="Arial"/>
        </w:rPr>
        <w:t xml:space="preserve">Public bodies and ‘publicly funded organisations’ have strict guidelines </w:t>
      </w:r>
      <w:r w:rsidR="000677B8" w:rsidRPr="00B568A0">
        <w:rPr>
          <w:rFonts w:ascii="Arial" w:hAnsi="Arial" w:cs="Arial"/>
        </w:rPr>
        <w:t xml:space="preserve">governing </w:t>
      </w:r>
      <w:r w:rsidRPr="00B568A0">
        <w:rPr>
          <w:rFonts w:ascii="Arial" w:hAnsi="Arial" w:cs="Arial"/>
        </w:rPr>
        <w:t xml:space="preserve">hospitality expenses charged to the ‘public purse’. These guidelines also apply to grant paid to projects </w:t>
      </w:r>
      <w:r w:rsidR="00005925" w:rsidRPr="00B568A0">
        <w:rPr>
          <w:rFonts w:ascii="Arial" w:hAnsi="Arial" w:cs="Arial"/>
        </w:rPr>
        <w:t xml:space="preserve">from </w:t>
      </w:r>
      <w:r w:rsidRPr="00B568A0">
        <w:rPr>
          <w:rFonts w:ascii="Arial" w:hAnsi="Arial" w:cs="Arial"/>
        </w:rPr>
        <w:t>within this Programme</w:t>
      </w:r>
      <w:r w:rsidR="00005925" w:rsidRPr="00B568A0">
        <w:rPr>
          <w:rFonts w:ascii="Arial" w:hAnsi="Arial" w:cs="Arial"/>
        </w:rPr>
        <w:t xml:space="preserve">. </w:t>
      </w:r>
    </w:p>
    <w:p w:rsidR="003D5601" w:rsidRPr="00B568A0" w:rsidRDefault="003D5601" w:rsidP="00B568A0">
      <w:pPr>
        <w:autoSpaceDE w:val="0"/>
        <w:autoSpaceDN w:val="0"/>
        <w:adjustRightInd w:val="0"/>
        <w:spacing w:line="360" w:lineRule="auto"/>
        <w:ind w:left="720" w:hanging="720"/>
        <w:jc w:val="both"/>
        <w:rPr>
          <w:rFonts w:ascii="Arial" w:hAnsi="Arial" w:cs="Arial"/>
          <w:bCs/>
        </w:rPr>
      </w:pPr>
    </w:p>
    <w:p w:rsidR="004A0126" w:rsidRPr="00B568A0" w:rsidRDefault="000D5823" w:rsidP="00B568A0">
      <w:pPr>
        <w:pStyle w:val="NormalWeb"/>
        <w:numPr>
          <w:ilvl w:val="1"/>
          <w:numId w:val="31"/>
        </w:numPr>
        <w:spacing w:before="0" w:beforeAutospacing="0" w:after="0" w:afterAutospacing="0" w:line="360" w:lineRule="auto"/>
        <w:jc w:val="both"/>
        <w:rPr>
          <w:rFonts w:ascii="Arial" w:hAnsi="Arial" w:cs="Arial"/>
          <w:color w:val="auto"/>
        </w:rPr>
      </w:pPr>
      <w:r w:rsidRPr="00B568A0">
        <w:rPr>
          <w:rFonts w:ascii="Arial" w:hAnsi="Arial" w:cs="Arial"/>
          <w:color w:val="auto"/>
        </w:rPr>
        <w:t xml:space="preserve">The provision of </w:t>
      </w:r>
      <w:r w:rsidR="00696AA5" w:rsidRPr="00B568A0">
        <w:rPr>
          <w:rFonts w:ascii="Arial" w:hAnsi="Arial" w:cs="Arial"/>
          <w:color w:val="auto"/>
        </w:rPr>
        <w:t xml:space="preserve">hospitality </w:t>
      </w:r>
      <w:r w:rsidRPr="00B568A0">
        <w:rPr>
          <w:rFonts w:ascii="Arial" w:hAnsi="Arial" w:cs="Arial"/>
          <w:color w:val="auto"/>
        </w:rPr>
        <w:t>is not normally a critical part in the delivery of schemes/operations funded under the EU Sustainable Competitiveness Programme for NI (the Programme).</w:t>
      </w:r>
      <w:r w:rsidR="00005925" w:rsidRPr="00B568A0">
        <w:rPr>
          <w:rFonts w:ascii="Arial" w:hAnsi="Arial" w:cs="Arial"/>
          <w:color w:val="auto"/>
        </w:rPr>
        <w:t xml:space="preserve"> H</w:t>
      </w:r>
      <w:r w:rsidR="007A38D6" w:rsidRPr="00B568A0">
        <w:rPr>
          <w:rFonts w:ascii="Arial" w:hAnsi="Arial" w:cs="Arial"/>
          <w:color w:val="auto"/>
        </w:rPr>
        <w:t>ospitality</w:t>
      </w:r>
      <w:r w:rsidR="00005925" w:rsidRPr="00B568A0">
        <w:rPr>
          <w:rFonts w:ascii="Arial" w:hAnsi="Arial" w:cs="Arial"/>
          <w:color w:val="auto"/>
        </w:rPr>
        <w:t xml:space="preserve"> can only be grant funded </w:t>
      </w:r>
      <w:r w:rsidR="007A38D6" w:rsidRPr="00B568A0">
        <w:rPr>
          <w:rFonts w:ascii="Arial" w:hAnsi="Arial" w:cs="Arial"/>
          <w:color w:val="auto"/>
        </w:rPr>
        <w:t>in limited circumstances</w:t>
      </w:r>
      <w:r w:rsidR="000677B8" w:rsidRPr="00B568A0">
        <w:rPr>
          <w:rFonts w:ascii="Arial" w:hAnsi="Arial" w:cs="Arial"/>
          <w:color w:val="auto"/>
        </w:rPr>
        <w:t xml:space="preserve"> as described in this guidance</w:t>
      </w:r>
      <w:r w:rsidR="004A0126" w:rsidRPr="00B568A0">
        <w:rPr>
          <w:rFonts w:ascii="Arial" w:hAnsi="Arial" w:cs="Arial"/>
          <w:color w:val="auto"/>
        </w:rPr>
        <w:t xml:space="preserve">. </w:t>
      </w:r>
      <w:r w:rsidRPr="00B568A0">
        <w:rPr>
          <w:rFonts w:ascii="Arial" w:hAnsi="Arial" w:cs="Arial"/>
          <w:color w:val="auto"/>
        </w:rPr>
        <w:t xml:space="preserve">The overriding principle is that </w:t>
      </w:r>
      <w:r w:rsidR="00451056" w:rsidRPr="00B568A0">
        <w:rPr>
          <w:rFonts w:ascii="Arial" w:hAnsi="Arial" w:cs="Arial"/>
          <w:color w:val="auto"/>
        </w:rPr>
        <w:t xml:space="preserve">hospitality </w:t>
      </w:r>
      <w:r w:rsidRPr="00B568A0">
        <w:rPr>
          <w:rFonts w:ascii="Arial" w:hAnsi="Arial" w:cs="Arial"/>
          <w:color w:val="auto"/>
        </w:rPr>
        <w:t xml:space="preserve">by a project at public expense </w:t>
      </w:r>
      <w:r w:rsidR="003B4A97" w:rsidRPr="00B568A0">
        <w:rPr>
          <w:rFonts w:ascii="Arial" w:hAnsi="Arial" w:cs="Arial"/>
          <w:color w:val="auto"/>
        </w:rPr>
        <w:t xml:space="preserve">must </w:t>
      </w:r>
      <w:r w:rsidR="00B568A0" w:rsidRPr="00B568A0">
        <w:rPr>
          <w:rFonts w:ascii="Arial" w:hAnsi="Arial" w:cs="Arial"/>
          <w:color w:val="auto"/>
        </w:rPr>
        <w:t>be justified</w:t>
      </w:r>
      <w:r w:rsidR="00451056" w:rsidRPr="00B568A0">
        <w:rPr>
          <w:rFonts w:ascii="Arial" w:hAnsi="Arial" w:cs="Arial"/>
          <w:color w:val="auto"/>
        </w:rPr>
        <w:t xml:space="preserve">, </w:t>
      </w:r>
      <w:r w:rsidR="00005925" w:rsidRPr="00B568A0">
        <w:rPr>
          <w:rFonts w:ascii="Arial" w:hAnsi="Arial" w:cs="Arial"/>
          <w:color w:val="auto"/>
        </w:rPr>
        <w:t>reasonable</w:t>
      </w:r>
      <w:r w:rsidR="00451056" w:rsidRPr="00B568A0">
        <w:rPr>
          <w:rFonts w:ascii="Arial" w:hAnsi="Arial" w:cs="Arial"/>
          <w:color w:val="auto"/>
        </w:rPr>
        <w:t xml:space="preserve"> and </w:t>
      </w:r>
      <w:r w:rsidR="004A0126" w:rsidRPr="00B568A0">
        <w:rPr>
          <w:rFonts w:ascii="Arial" w:hAnsi="Arial" w:cs="Arial"/>
          <w:color w:val="auto"/>
        </w:rPr>
        <w:t xml:space="preserve">is </w:t>
      </w:r>
      <w:r w:rsidRPr="00B568A0">
        <w:rPr>
          <w:rFonts w:ascii="Arial" w:hAnsi="Arial" w:cs="Arial"/>
          <w:color w:val="auto"/>
        </w:rPr>
        <w:t xml:space="preserve">considered to be in the direct interest of the </w:t>
      </w:r>
      <w:r w:rsidR="003B4A97" w:rsidRPr="00B568A0">
        <w:rPr>
          <w:rFonts w:ascii="Arial" w:hAnsi="Arial" w:cs="Arial"/>
          <w:color w:val="auto"/>
        </w:rPr>
        <w:t>project and</w:t>
      </w:r>
      <w:r w:rsidR="005112C3" w:rsidRPr="00B568A0">
        <w:rPr>
          <w:rFonts w:ascii="Arial" w:hAnsi="Arial" w:cs="Arial"/>
          <w:color w:val="auto"/>
        </w:rPr>
        <w:t xml:space="preserve"> </w:t>
      </w:r>
      <w:r w:rsidRPr="00B568A0">
        <w:rPr>
          <w:rFonts w:ascii="Arial" w:hAnsi="Arial" w:cs="Arial"/>
          <w:color w:val="auto"/>
        </w:rPr>
        <w:t xml:space="preserve">Programme.  </w:t>
      </w:r>
      <w:r w:rsidR="000677B8" w:rsidRPr="00B568A0">
        <w:rPr>
          <w:rFonts w:ascii="Arial" w:hAnsi="Arial" w:cs="Arial"/>
          <w:color w:val="auto"/>
        </w:rPr>
        <w:t xml:space="preserve">Entertainment </w:t>
      </w:r>
      <w:r w:rsidR="00711FF2" w:rsidRPr="00B568A0">
        <w:rPr>
          <w:rFonts w:ascii="Arial" w:hAnsi="Arial" w:cs="Arial"/>
          <w:color w:val="auto"/>
        </w:rPr>
        <w:t xml:space="preserve">in general </w:t>
      </w:r>
      <w:r w:rsidR="000677B8" w:rsidRPr="00B568A0">
        <w:rPr>
          <w:rFonts w:ascii="Arial" w:hAnsi="Arial" w:cs="Arial"/>
          <w:color w:val="auto"/>
        </w:rPr>
        <w:t xml:space="preserve">is not an eligible expense. </w:t>
      </w:r>
    </w:p>
    <w:p w:rsidR="004A0126" w:rsidRPr="00B568A0" w:rsidRDefault="004A0126" w:rsidP="00B568A0">
      <w:pPr>
        <w:pStyle w:val="NormalWeb"/>
        <w:spacing w:before="0" w:beforeAutospacing="0" w:after="0" w:afterAutospacing="0" w:line="360" w:lineRule="auto"/>
        <w:ind w:left="360"/>
        <w:jc w:val="both"/>
        <w:rPr>
          <w:rFonts w:ascii="Arial" w:hAnsi="Arial" w:cs="Arial"/>
          <w:color w:val="auto"/>
        </w:rPr>
      </w:pPr>
    </w:p>
    <w:p w:rsidR="00711FF2" w:rsidRPr="00B568A0" w:rsidRDefault="00AC62AD" w:rsidP="00B568A0">
      <w:pPr>
        <w:pStyle w:val="NormalWeb"/>
        <w:numPr>
          <w:ilvl w:val="1"/>
          <w:numId w:val="31"/>
        </w:numPr>
        <w:spacing w:before="0" w:beforeAutospacing="0" w:after="0" w:afterAutospacing="0" w:line="360" w:lineRule="auto"/>
        <w:jc w:val="both"/>
        <w:rPr>
          <w:rFonts w:ascii="Arial" w:hAnsi="Arial" w:cs="Arial"/>
          <w:color w:val="auto"/>
        </w:rPr>
      </w:pPr>
      <w:r w:rsidRPr="00B568A0">
        <w:rPr>
          <w:rFonts w:ascii="Arial" w:hAnsi="Arial" w:cs="Arial"/>
          <w:color w:val="auto"/>
        </w:rPr>
        <w:t>Within the public sector, a</w:t>
      </w:r>
      <w:r w:rsidR="000D5823" w:rsidRPr="00B568A0">
        <w:rPr>
          <w:rFonts w:ascii="Arial" w:hAnsi="Arial" w:cs="Arial"/>
          <w:color w:val="auto"/>
        </w:rPr>
        <w:t>pproval for the provision of hospitality must be given by a sufficiently senior official/staff member within the organisation. Evidence of this approval should be retained a</w:t>
      </w:r>
      <w:r w:rsidR="005112C3" w:rsidRPr="00B568A0">
        <w:rPr>
          <w:rFonts w:ascii="Arial" w:hAnsi="Arial" w:cs="Arial"/>
          <w:color w:val="auto"/>
        </w:rPr>
        <w:t>s part of the audit trail</w:t>
      </w:r>
      <w:r w:rsidR="000415D7" w:rsidRPr="00B568A0">
        <w:rPr>
          <w:rFonts w:ascii="Arial" w:hAnsi="Arial" w:cs="Arial"/>
          <w:color w:val="auto"/>
        </w:rPr>
        <w:t xml:space="preserve"> supporting the expenditure</w:t>
      </w:r>
      <w:r w:rsidR="005112C3" w:rsidRPr="00B568A0">
        <w:rPr>
          <w:rFonts w:ascii="Arial" w:hAnsi="Arial" w:cs="Arial"/>
          <w:color w:val="auto"/>
        </w:rPr>
        <w:t xml:space="preserve">. </w:t>
      </w:r>
    </w:p>
    <w:p w:rsidR="00711FF2" w:rsidRPr="00B568A0" w:rsidRDefault="00711FF2" w:rsidP="00B568A0">
      <w:pPr>
        <w:pStyle w:val="NormalWeb"/>
        <w:spacing w:before="0" w:beforeAutospacing="0" w:after="0" w:afterAutospacing="0" w:line="360" w:lineRule="auto"/>
        <w:jc w:val="both"/>
        <w:rPr>
          <w:rFonts w:ascii="Arial" w:hAnsi="Arial" w:cs="Arial"/>
          <w:color w:val="auto"/>
        </w:rPr>
      </w:pPr>
    </w:p>
    <w:p w:rsidR="000D5823" w:rsidRPr="00B568A0" w:rsidRDefault="004A0126" w:rsidP="00B568A0">
      <w:pPr>
        <w:pStyle w:val="NormalWeb"/>
        <w:numPr>
          <w:ilvl w:val="1"/>
          <w:numId w:val="31"/>
        </w:numPr>
        <w:spacing w:before="0" w:beforeAutospacing="0" w:after="0" w:afterAutospacing="0" w:line="360" w:lineRule="auto"/>
        <w:jc w:val="both"/>
        <w:rPr>
          <w:rFonts w:ascii="Arial" w:hAnsi="Arial" w:cs="Arial"/>
          <w:color w:val="auto"/>
        </w:rPr>
      </w:pPr>
      <w:r w:rsidRPr="00B568A0">
        <w:rPr>
          <w:rFonts w:ascii="Arial" w:hAnsi="Arial" w:cs="Arial"/>
          <w:color w:val="auto"/>
        </w:rPr>
        <w:t>Hospitality</w:t>
      </w:r>
      <w:r w:rsidR="000D5823" w:rsidRPr="00B568A0">
        <w:rPr>
          <w:rFonts w:ascii="Arial" w:hAnsi="Arial" w:cs="Arial"/>
          <w:color w:val="auto"/>
        </w:rPr>
        <w:t xml:space="preserve"> should be, and should be seen to be, unostentatious and on a modest scale. Whilst it can be difficult not to offer hospitality as a gesture of reciprocity, this should neither be the sole reason, nor the main reason, for justifying the expenditure.</w:t>
      </w:r>
      <w:r w:rsidR="00696AA5" w:rsidRPr="00B568A0">
        <w:rPr>
          <w:rFonts w:ascii="Arial" w:hAnsi="Arial" w:cs="Arial"/>
          <w:color w:val="auto"/>
        </w:rPr>
        <w:t xml:space="preserve"> </w:t>
      </w:r>
      <w:r w:rsidR="000D5823" w:rsidRPr="00B568A0">
        <w:rPr>
          <w:rFonts w:ascii="Arial" w:hAnsi="Arial" w:cs="Arial"/>
          <w:color w:val="auto"/>
        </w:rPr>
        <w:t>The provision of hospitality should be limited to food and drink.</w:t>
      </w:r>
    </w:p>
    <w:p w:rsidR="000D5823" w:rsidRDefault="000D5823" w:rsidP="00B568A0">
      <w:pPr>
        <w:pStyle w:val="NormalWeb"/>
        <w:spacing w:before="0" w:beforeAutospacing="0" w:after="0" w:afterAutospacing="0" w:line="360" w:lineRule="auto"/>
        <w:jc w:val="both"/>
        <w:rPr>
          <w:rFonts w:ascii="Arial" w:hAnsi="Arial" w:cs="Arial"/>
          <w:color w:val="auto"/>
        </w:rPr>
      </w:pPr>
    </w:p>
    <w:p w:rsidR="00B568A0" w:rsidRPr="00B568A0" w:rsidRDefault="00B568A0" w:rsidP="00B568A0">
      <w:pPr>
        <w:pStyle w:val="NormalWeb"/>
        <w:spacing w:before="0" w:beforeAutospacing="0" w:after="0" w:afterAutospacing="0" w:line="360" w:lineRule="auto"/>
        <w:jc w:val="both"/>
        <w:rPr>
          <w:rFonts w:ascii="Arial" w:hAnsi="Arial" w:cs="Arial"/>
          <w:color w:val="auto"/>
        </w:rPr>
      </w:pPr>
    </w:p>
    <w:p w:rsidR="000D5823" w:rsidRPr="00B568A0" w:rsidRDefault="000D5823" w:rsidP="00B568A0">
      <w:pPr>
        <w:pStyle w:val="NormalWeb"/>
        <w:spacing w:before="0" w:beforeAutospacing="0" w:after="0" w:afterAutospacing="0" w:line="360" w:lineRule="auto"/>
        <w:jc w:val="both"/>
        <w:rPr>
          <w:rFonts w:ascii="Arial" w:hAnsi="Arial" w:cs="Arial"/>
          <w:color w:val="auto"/>
        </w:rPr>
      </w:pPr>
      <w:r w:rsidRPr="00B568A0">
        <w:rPr>
          <w:rFonts w:ascii="Arial" w:hAnsi="Arial" w:cs="Arial"/>
          <w:b/>
          <w:color w:val="auto"/>
        </w:rPr>
        <w:t>2.0</w:t>
      </w:r>
      <w:r w:rsidRPr="00B568A0">
        <w:rPr>
          <w:rFonts w:ascii="Arial" w:hAnsi="Arial" w:cs="Arial"/>
          <w:color w:val="auto"/>
        </w:rPr>
        <w:tab/>
      </w:r>
      <w:r w:rsidRPr="00B568A0">
        <w:rPr>
          <w:rStyle w:val="Strong"/>
          <w:rFonts w:ascii="Arial" w:hAnsi="Arial" w:cs="Arial"/>
          <w:color w:val="auto"/>
        </w:rPr>
        <w:t>Light Refreshments</w:t>
      </w:r>
    </w:p>
    <w:p w:rsidR="000D5823" w:rsidRPr="00B568A0" w:rsidRDefault="000D5823" w:rsidP="00B568A0">
      <w:pPr>
        <w:pStyle w:val="NormalWeb"/>
        <w:spacing w:before="0" w:beforeAutospacing="0" w:after="0" w:afterAutospacing="0" w:line="360" w:lineRule="auto"/>
        <w:jc w:val="both"/>
        <w:rPr>
          <w:rFonts w:ascii="Arial" w:hAnsi="Arial" w:cs="Arial"/>
          <w:color w:val="auto"/>
        </w:rPr>
      </w:pPr>
    </w:p>
    <w:p w:rsidR="000D5823" w:rsidRPr="00B568A0" w:rsidRDefault="000D5823" w:rsidP="00B568A0">
      <w:pPr>
        <w:pStyle w:val="NormalWeb"/>
        <w:spacing w:before="0" w:beforeAutospacing="0" w:after="0" w:afterAutospacing="0" w:line="360" w:lineRule="auto"/>
        <w:ind w:left="720" w:hanging="720"/>
        <w:jc w:val="both"/>
        <w:rPr>
          <w:rFonts w:ascii="Arial" w:hAnsi="Arial" w:cs="Arial"/>
          <w:color w:val="auto"/>
        </w:rPr>
      </w:pPr>
      <w:r w:rsidRPr="00B568A0">
        <w:rPr>
          <w:rFonts w:ascii="Arial" w:hAnsi="Arial" w:cs="Arial"/>
          <w:color w:val="auto"/>
        </w:rPr>
        <w:t xml:space="preserve">2.1 </w:t>
      </w:r>
      <w:r w:rsidRPr="00B568A0">
        <w:rPr>
          <w:rFonts w:ascii="Arial" w:hAnsi="Arial" w:cs="Arial"/>
          <w:color w:val="auto"/>
        </w:rPr>
        <w:tab/>
        <w:t>It is sometimes necessary to host morning or afternoon meetings to which representatives of external organisations are in attendance. Generally speaking, the provision of tea or coffee and biscuits at meetings of this kind can be charged to the Programme.</w:t>
      </w:r>
    </w:p>
    <w:p w:rsidR="000D5823" w:rsidRPr="00B568A0" w:rsidRDefault="000D5823" w:rsidP="00B568A0">
      <w:pPr>
        <w:pStyle w:val="NormalWeb"/>
        <w:spacing w:before="0" w:beforeAutospacing="0" w:after="0" w:afterAutospacing="0" w:line="360" w:lineRule="auto"/>
        <w:jc w:val="both"/>
        <w:rPr>
          <w:rFonts w:ascii="Arial" w:hAnsi="Arial" w:cs="Arial"/>
          <w:color w:val="auto"/>
        </w:rPr>
      </w:pPr>
    </w:p>
    <w:p w:rsidR="000D5823" w:rsidRPr="00B568A0" w:rsidRDefault="000D5823" w:rsidP="00B568A0">
      <w:pPr>
        <w:pStyle w:val="NormalWeb"/>
        <w:spacing w:before="0" w:beforeAutospacing="0" w:after="0" w:afterAutospacing="0" w:line="360" w:lineRule="auto"/>
        <w:ind w:left="720" w:hanging="720"/>
        <w:jc w:val="both"/>
        <w:rPr>
          <w:rFonts w:ascii="Arial" w:hAnsi="Arial" w:cs="Arial"/>
          <w:color w:val="auto"/>
        </w:rPr>
      </w:pPr>
      <w:r w:rsidRPr="00B568A0">
        <w:rPr>
          <w:rFonts w:ascii="Arial" w:hAnsi="Arial" w:cs="Arial"/>
          <w:color w:val="auto"/>
        </w:rPr>
        <w:t xml:space="preserve">2.2 </w:t>
      </w:r>
      <w:r w:rsidRPr="00B568A0">
        <w:rPr>
          <w:rFonts w:ascii="Arial" w:hAnsi="Arial" w:cs="Arial"/>
          <w:color w:val="auto"/>
        </w:rPr>
        <w:tab/>
        <w:t>The chairperson of any such meeting should consider whether the circumstances warrant the provision of refreshments. For example, such provision may not be appropriate if a meeting is expected to be particularly brief or if the number of internal representatives far outweighs the number of visitors.</w:t>
      </w:r>
    </w:p>
    <w:p w:rsidR="000D5823" w:rsidRPr="00B568A0" w:rsidRDefault="000D5823" w:rsidP="00B568A0">
      <w:pPr>
        <w:pStyle w:val="NormalWeb"/>
        <w:spacing w:before="0" w:beforeAutospacing="0" w:after="0" w:afterAutospacing="0" w:line="360" w:lineRule="auto"/>
        <w:jc w:val="both"/>
        <w:rPr>
          <w:rFonts w:ascii="Arial" w:hAnsi="Arial" w:cs="Arial"/>
          <w:color w:val="auto"/>
        </w:rPr>
      </w:pPr>
    </w:p>
    <w:p w:rsidR="000D5823" w:rsidRPr="00B568A0" w:rsidRDefault="0032173C" w:rsidP="00B568A0">
      <w:pPr>
        <w:pStyle w:val="NormalWeb"/>
        <w:spacing w:before="0" w:beforeAutospacing="0" w:after="0" w:afterAutospacing="0" w:line="360" w:lineRule="auto"/>
        <w:ind w:left="720" w:hanging="720"/>
        <w:jc w:val="both"/>
        <w:rPr>
          <w:rFonts w:ascii="Arial" w:hAnsi="Arial" w:cs="Arial"/>
          <w:color w:val="auto"/>
        </w:rPr>
      </w:pPr>
      <w:r w:rsidRPr="00B568A0">
        <w:rPr>
          <w:rFonts w:ascii="Arial" w:hAnsi="Arial" w:cs="Arial"/>
          <w:color w:val="auto"/>
        </w:rPr>
        <w:t>2.3</w:t>
      </w:r>
      <w:r w:rsidR="000D5823" w:rsidRPr="00B568A0">
        <w:rPr>
          <w:rFonts w:ascii="Arial" w:hAnsi="Arial" w:cs="Arial"/>
          <w:color w:val="auto"/>
        </w:rPr>
        <w:t xml:space="preserve"> </w:t>
      </w:r>
      <w:r w:rsidRPr="00B568A0">
        <w:rPr>
          <w:rFonts w:ascii="Arial" w:hAnsi="Arial" w:cs="Arial"/>
          <w:color w:val="auto"/>
        </w:rPr>
        <w:tab/>
      </w:r>
      <w:r w:rsidR="000D5823" w:rsidRPr="00B568A0">
        <w:rPr>
          <w:rFonts w:ascii="Arial" w:hAnsi="Arial" w:cs="Arial"/>
          <w:color w:val="auto"/>
        </w:rPr>
        <w:t>Refreshments provided should be limited to tea or coffee and scones or biscuits.</w:t>
      </w:r>
    </w:p>
    <w:p w:rsidR="000D5823" w:rsidRDefault="000D5823" w:rsidP="00B568A0">
      <w:pPr>
        <w:pStyle w:val="NormalWeb"/>
        <w:spacing w:before="0" w:beforeAutospacing="0" w:after="0" w:afterAutospacing="0" w:line="360" w:lineRule="auto"/>
        <w:jc w:val="both"/>
        <w:rPr>
          <w:rFonts w:ascii="Arial" w:hAnsi="Arial" w:cs="Arial"/>
          <w:color w:val="auto"/>
        </w:rPr>
      </w:pPr>
    </w:p>
    <w:p w:rsidR="00B568A0" w:rsidRPr="00B568A0" w:rsidRDefault="00B568A0" w:rsidP="00B568A0">
      <w:pPr>
        <w:pStyle w:val="NormalWeb"/>
        <w:spacing w:before="0" w:beforeAutospacing="0" w:after="0" w:afterAutospacing="0" w:line="360" w:lineRule="auto"/>
        <w:jc w:val="both"/>
        <w:rPr>
          <w:rFonts w:ascii="Arial" w:hAnsi="Arial" w:cs="Arial"/>
          <w:color w:val="auto"/>
        </w:rPr>
      </w:pPr>
    </w:p>
    <w:p w:rsidR="0032173C" w:rsidRPr="00B568A0" w:rsidRDefault="0032173C" w:rsidP="00B568A0">
      <w:pPr>
        <w:pStyle w:val="NormalWeb"/>
        <w:spacing w:before="0" w:beforeAutospacing="0" w:after="0" w:afterAutospacing="0" w:line="360" w:lineRule="auto"/>
        <w:jc w:val="both"/>
        <w:rPr>
          <w:rFonts w:ascii="Arial" w:hAnsi="Arial" w:cs="Arial"/>
          <w:color w:val="auto"/>
        </w:rPr>
      </w:pPr>
      <w:r w:rsidRPr="00B568A0">
        <w:rPr>
          <w:rFonts w:ascii="Arial" w:hAnsi="Arial" w:cs="Arial"/>
          <w:b/>
          <w:color w:val="auto"/>
        </w:rPr>
        <w:t>3.</w:t>
      </w:r>
      <w:r w:rsidR="00150BBC" w:rsidRPr="00B568A0">
        <w:rPr>
          <w:rFonts w:ascii="Arial" w:hAnsi="Arial" w:cs="Arial"/>
          <w:b/>
          <w:color w:val="auto"/>
        </w:rPr>
        <w:t>0</w:t>
      </w:r>
      <w:r w:rsidR="00150BBC" w:rsidRPr="00B568A0">
        <w:rPr>
          <w:rFonts w:ascii="Arial" w:hAnsi="Arial" w:cs="Arial"/>
          <w:b/>
          <w:color w:val="auto"/>
        </w:rPr>
        <w:tab/>
      </w:r>
      <w:r w:rsidRPr="00B568A0">
        <w:rPr>
          <w:rFonts w:ascii="Arial" w:hAnsi="Arial" w:cs="Arial"/>
          <w:b/>
          <w:color w:val="auto"/>
        </w:rPr>
        <w:t xml:space="preserve"> </w:t>
      </w:r>
      <w:r w:rsidRPr="00B568A0">
        <w:rPr>
          <w:rStyle w:val="Strong"/>
          <w:rFonts w:ascii="Arial" w:hAnsi="Arial" w:cs="Arial"/>
          <w:color w:val="auto"/>
        </w:rPr>
        <w:t>Dining</w:t>
      </w:r>
    </w:p>
    <w:p w:rsidR="0032173C" w:rsidRPr="00B568A0" w:rsidRDefault="0032173C" w:rsidP="00B568A0">
      <w:pPr>
        <w:pStyle w:val="NormalWeb"/>
        <w:spacing w:before="0" w:beforeAutospacing="0" w:after="0" w:afterAutospacing="0" w:line="360" w:lineRule="auto"/>
        <w:jc w:val="both"/>
        <w:rPr>
          <w:rFonts w:ascii="Arial" w:hAnsi="Arial" w:cs="Arial"/>
          <w:color w:val="auto"/>
        </w:rPr>
      </w:pPr>
    </w:p>
    <w:p w:rsidR="00150BBC" w:rsidRPr="00B568A0" w:rsidRDefault="0032173C" w:rsidP="00B568A0">
      <w:pPr>
        <w:pStyle w:val="NormalWeb"/>
        <w:spacing w:before="0" w:beforeAutospacing="0" w:after="0" w:afterAutospacing="0" w:line="360" w:lineRule="auto"/>
        <w:ind w:left="720" w:hanging="720"/>
        <w:jc w:val="both"/>
        <w:rPr>
          <w:rFonts w:ascii="Arial" w:hAnsi="Arial" w:cs="Arial"/>
          <w:color w:val="auto"/>
        </w:rPr>
      </w:pPr>
      <w:r w:rsidRPr="00B568A0">
        <w:rPr>
          <w:rFonts w:ascii="Arial" w:hAnsi="Arial" w:cs="Arial"/>
          <w:color w:val="auto"/>
        </w:rPr>
        <w:t xml:space="preserve">3.1 </w:t>
      </w:r>
      <w:r w:rsidR="00150BBC" w:rsidRPr="00B568A0">
        <w:rPr>
          <w:rFonts w:ascii="Arial" w:hAnsi="Arial" w:cs="Arial"/>
          <w:color w:val="auto"/>
        </w:rPr>
        <w:tab/>
      </w:r>
      <w:r w:rsidRPr="00B568A0">
        <w:rPr>
          <w:rFonts w:ascii="Arial" w:hAnsi="Arial" w:cs="Arial"/>
          <w:color w:val="auto"/>
        </w:rPr>
        <w:t xml:space="preserve">Internal conference and dining facilities </w:t>
      </w:r>
      <w:r w:rsidR="00163468" w:rsidRPr="00B568A0">
        <w:rPr>
          <w:rFonts w:ascii="Arial" w:hAnsi="Arial" w:cs="Arial"/>
          <w:color w:val="auto"/>
        </w:rPr>
        <w:t xml:space="preserve">which are free of charge </w:t>
      </w:r>
      <w:r w:rsidRPr="00B568A0">
        <w:rPr>
          <w:rFonts w:ascii="Arial" w:hAnsi="Arial" w:cs="Arial"/>
          <w:color w:val="auto"/>
        </w:rPr>
        <w:t xml:space="preserve">should be considered as a first choice for entertaining guests when numbers are relatively small. </w:t>
      </w:r>
      <w:r w:rsidR="00150BBC" w:rsidRPr="00B568A0">
        <w:rPr>
          <w:rFonts w:ascii="Arial" w:hAnsi="Arial" w:cs="Arial"/>
          <w:color w:val="auto"/>
        </w:rPr>
        <w:t>I</w:t>
      </w:r>
      <w:r w:rsidRPr="00B568A0">
        <w:rPr>
          <w:rFonts w:ascii="Arial" w:hAnsi="Arial" w:cs="Arial"/>
          <w:color w:val="auto"/>
        </w:rPr>
        <w:t xml:space="preserve">f internal dining facilities are unavailable or cannot cater for the numbers involved then consideration should be given to providing sandwiches or a snack meal from </w:t>
      </w:r>
      <w:r w:rsidR="00150BBC" w:rsidRPr="00B568A0">
        <w:rPr>
          <w:rFonts w:ascii="Arial" w:hAnsi="Arial" w:cs="Arial"/>
          <w:color w:val="auto"/>
        </w:rPr>
        <w:t>a caterer (procured in accordance with the tendering rules).</w:t>
      </w:r>
    </w:p>
    <w:p w:rsidR="00150BBC" w:rsidRPr="00B568A0" w:rsidRDefault="00150BBC" w:rsidP="00B568A0">
      <w:pPr>
        <w:pStyle w:val="NormalWeb"/>
        <w:spacing w:before="0" w:beforeAutospacing="0" w:after="0" w:afterAutospacing="0" w:line="360" w:lineRule="auto"/>
        <w:ind w:left="720" w:hanging="720"/>
        <w:jc w:val="both"/>
        <w:rPr>
          <w:rFonts w:ascii="Arial" w:hAnsi="Arial" w:cs="Arial"/>
          <w:color w:val="auto"/>
        </w:rPr>
      </w:pPr>
    </w:p>
    <w:p w:rsidR="00150BBC" w:rsidRPr="00B568A0" w:rsidRDefault="00150BBC" w:rsidP="00B568A0">
      <w:pPr>
        <w:pStyle w:val="NormalWeb"/>
        <w:spacing w:before="0" w:beforeAutospacing="0" w:after="0" w:afterAutospacing="0" w:line="360" w:lineRule="auto"/>
        <w:ind w:left="720" w:hanging="720"/>
        <w:jc w:val="both"/>
        <w:rPr>
          <w:rFonts w:ascii="Arial" w:hAnsi="Arial" w:cs="Arial"/>
          <w:color w:val="auto"/>
        </w:rPr>
      </w:pPr>
      <w:r w:rsidRPr="00B568A0">
        <w:rPr>
          <w:rFonts w:ascii="Arial" w:hAnsi="Arial" w:cs="Arial"/>
          <w:color w:val="auto"/>
        </w:rPr>
        <w:t>3.2</w:t>
      </w:r>
      <w:r w:rsidRPr="00B568A0">
        <w:rPr>
          <w:rFonts w:ascii="Arial" w:hAnsi="Arial" w:cs="Arial"/>
          <w:color w:val="auto"/>
        </w:rPr>
        <w:tab/>
      </w:r>
      <w:r w:rsidR="0032173C" w:rsidRPr="00B568A0">
        <w:rPr>
          <w:rFonts w:ascii="Arial" w:hAnsi="Arial" w:cs="Arial"/>
          <w:color w:val="auto"/>
        </w:rPr>
        <w:t>U</w:t>
      </w:r>
      <w:r w:rsidR="00163468" w:rsidRPr="00B568A0">
        <w:rPr>
          <w:rFonts w:ascii="Arial" w:hAnsi="Arial" w:cs="Arial"/>
          <w:color w:val="auto"/>
        </w:rPr>
        <w:t>nless justified through a procurement process, u</w:t>
      </w:r>
      <w:r w:rsidR="0032173C" w:rsidRPr="00B568A0">
        <w:rPr>
          <w:rFonts w:ascii="Arial" w:hAnsi="Arial" w:cs="Arial"/>
          <w:color w:val="auto"/>
        </w:rPr>
        <w:t>p-market hotels and restaurants should be avoided when entertaining guests and, where possible, a fixed or limited choice menu for food and drink at a fixed pri</w:t>
      </w:r>
      <w:r w:rsidRPr="00B568A0">
        <w:rPr>
          <w:rFonts w:ascii="Arial" w:hAnsi="Arial" w:cs="Arial"/>
          <w:color w:val="auto"/>
        </w:rPr>
        <w:t>ce should be settled in advance.</w:t>
      </w:r>
    </w:p>
    <w:p w:rsidR="00150BBC" w:rsidRPr="00B568A0" w:rsidRDefault="00150BBC" w:rsidP="00B568A0">
      <w:pPr>
        <w:pStyle w:val="NormalWeb"/>
        <w:spacing w:before="0" w:beforeAutospacing="0" w:after="0" w:afterAutospacing="0" w:line="360" w:lineRule="auto"/>
        <w:ind w:left="720" w:hanging="720"/>
        <w:jc w:val="both"/>
        <w:rPr>
          <w:rFonts w:ascii="Arial" w:hAnsi="Arial" w:cs="Arial"/>
          <w:color w:val="auto"/>
        </w:rPr>
      </w:pPr>
    </w:p>
    <w:p w:rsidR="0032173C" w:rsidRPr="00B568A0" w:rsidRDefault="00150BBC" w:rsidP="00B568A0">
      <w:pPr>
        <w:pStyle w:val="NormalWeb"/>
        <w:spacing w:before="0" w:beforeAutospacing="0" w:after="0" w:afterAutospacing="0" w:line="360" w:lineRule="auto"/>
        <w:ind w:left="720" w:hanging="720"/>
        <w:jc w:val="both"/>
        <w:rPr>
          <w:rFonts w:ascii="Arial" w:hAnsi="Arial" w:cs="Arial"/>
          <w:color w:val="auto"/>
        </w:rPr>
      </w:pPr>
      <w:r w:rsidRPr="00B568A0">
        <w:rPr>
          <w:rFonts w:ascii="Arial" w:hAnsi="Arial" w:cs="Arial"/>
          <w:color w:val="auto"/>
        </w:rPr>
        <w:lastRenderedPageBreak/>
        <w:t>3.3</w:t>
      </w:r>
      <w:r w:rsidRPr="00B568A0">
        <w:rPr>
          <w:rFonts w:ascii="Arial" w:hAnsi="Arial" w:cs="Arial"/>
          <w:color w:val="auto"/>
        </w:rPr>
        <w:tab/>
      </w:r>
      <w:r w:rsidR="0032173C" w:rsidRPr="00B568A0">
        <w:rPr>
          <w:rFonts w:ascii="Arial" w:hAnsi="Arial" w:cs="Arial"/>
          <w:color w:val="auto"/>
        </w:rPr>
        <w:t xml:space="preserve">The following rules as to cost of food and drink should be adhered to when guests are entertained at hotels or restaurants: </w:t>
      </w:r>
    </w:p>
    <w:p w:rsidR="00150BBC" w:rsidRPr="00B568A0" w:rsidRDefault="00150BBC" w:rsidP="00B568A0">
      <w:pPr>
        <w:pStyle w:val="NormalWeb"/>
        <w:numPr>
          <w:ilvl w:val="0"/>
          <w:numId w:val="28"/>
        </w:numPr>
        <w:spacing w:line="360" w:lineRule="auto"/>
        <w:ind w:right="720"/>
        <w:jc w:val="both"/>
        <w:rPr>
          <w:rFonts w:ascii="Arial" w:hAnsi="Arial" w:cs="Arial"/>
          <w:color w:val="auto"/>
        </w:rPr>
      </w:pPr>
      <w:r w:rsidRPr="00B568A0">
        <w:rPr>
          <w:rFonts w:ascii="Arial" w:hAnsi="Arial" w:cs="Arial"/>
          <w:color w:val="auto"/>
        </w:rPr>
        <w:t>T</w:t>
      </w:r>
      <w:r w:rsidR="0032173C" w:rsidRPr="00B568A0">
        <w:rPr>
          <w:rFonts w:ascii="Arial" w:hAnsi="Arial" w:cs="Arial"/>
          <w:color w:val="auto"/>
        </w:rPr>
        <w:t>he total cost per head including drink should not exceed £40; this should be regarded as an upper figure to cover for example, limited choice or a la carte dinner costs. It would be difficult to justify thi</w:t>
      </w:r>
      <w:r w:rsidRPr="00B568A0">
        <w:rPr>
          <w:rFonts w:ascii="Arial" w:hAnsi="Arial" w:cs="Arial"/>
          <w:color w:val="auto"/>
        </w:rPr>
        <w:t>s level of cost for, say, lunch;</w:t>
      </w:r>
    </w:p>
    <w:p w:rsidR="00150BBC" w:rsidRPr="00B568A0" w:rsidRDefault="00150BBC" w:rsidP="00B568A0">
      <w:pPr>
        <w:pStyle w:val="NormalWeb"/>
        <w:ind w:left="720" w:right="720"/>
        <w:jc w:val="both"/>
        <w:rPr>
          <w:rFonts w:ascii="Arial" w:hAnsi="Arial" w:cs="Arial"/>
          <w:color w:val="auto"/>
        </w:rPr>
      </w:pPr>
    </w:p>
    <w:p w:rsidR="00150BBC" w:rsidRPr="00B568A0" w:rsidRDefault="00150BBC" w:rsidP="00B568A0">
      <w:pPr>
        <w:pStyle w:val="NormalWeb"/>
        <w:numPr>
          <w:ilvl w:val="0"/>
          <w:numId w:val="28"/>
        </w:numPr>
        <w:spacing w:line="360" w:lineRule="auto"/>
        <w:ind w:right="720"/>
        <w:jc w:val="both"/>
        <w:rPr>
          <w:rFonts w:ascii="Arial" w:hAnsi="Arial" w:cs="Arial"/>
          <w:color w:val="auto"/>
        </w:rPr>
      </w:pPr>
      <w:r w:rsidRPr="00B568A0">
        <w:rPr>
          <w:rFonts w:ascii="Arial" w:hAnsi="Arial" w:cs="Arial"/>
          <w:color w:val="auto"/>
        </w:rPr>
        <w:t>T</w:t>
      </w:r>
      <w:r w:rsidR="0032173C" w:rsidRPr="00B568A0">
        <w:rPr>
          <w:rFonts w:ascii="Arial" w:hAnsi="Arial" w:cs="Arial"/>
          <w:color w:val="auto"/>
        </w:rPr>
        <w:t>he element for drink should not normally exceed one-third of the total bill. However, if the food element is for some reason very economically priced, then a drinks charge up to a maximum of £12 per head may be admissible;</w:t>
      </w:r>
    </w:p>
    <w:p w:rsidR="00150BBC" w:rsidRPr="00B568A0" w:rsidRDefault="00150BBC" w:rsidP="00B568A0">
      <w:pPr>
        <w:pStyle w:val="NormalWeb"/>
        <w:ind w:right="720"/>
        <w:jc w:val="both"/>
        <w:rPr>
          <w:rFonts w:ascii="Arial" w:hAnsi="Arial" w:cs="Arial"/>
          <w:color w:val="auto"/>
        </w:rPr>
      </w:pPr>
    </w:p>
    <w:p w:rsidR="00150BBC" w:rsidRPr="00B568A0" w:rsidRDefault="00150BBC" w:rsidP="00B568A0">
      <w:pPr>
        <w:pStyle w:val="NormalWeb"/>
        <w:numPr>
          <w:ilvl w:val="0"/>
          <w:numId w:val="28"/>
        </w:numPr>
        <w:spacing w:line="360" w:lineRule="auto"/>
        <w:ind w:right="720"/>
        <w:jc w:val="both"/>
        <w:rPr>
          <w:rFonts w:ascii="Arial" w:hAnsi="Arial" w:cs="Arial"/>
          <w:color w:val="auto"/>
        </w:rPr>
      </w:pPr>
      <w:r w:rsidRPr="00B568A0">
        <w:rPr>
          <w:rFonts w:ascii="Arial" w:hAnsi="Arial" w:cs="Arial"/>
          <w:color w:val="auto"/>
        </w:rPr>
        <w:t>I</w:t>
      </w:r>
      <w:r w:rsidR="0032173C" w:rsidRPr="00B568A0">
        <w:rPr>
          <w:rFonts w:ascii="Arial" w:hAnsi="Arial" w:cs="Arial"/>
          <w:color w:val="auto"/>
        </w:rPr>
        <w:t>f no service charge is included in the bill, a tip of 12.5% would be reasonable, but this should be contained within the maximum cost specified at (i).</w:t>
      </w:r>
    </w:p>
    <w:p w:rsidR="00B568A0" w:rsidRDefault="00B568A0" w:rsidP="00B568A0">
      <w:pPr>
        <w:pStyle w:val="NormalWeb"/>
        <w:spacing w:line="360" w:lineRule="auto"/>
        <w:ind w:right="720"/>
        <w:jc w:val="both"/>
        <w:rPr>
          <w:rFonts w:ascii="Arial" w:hAnsi="Arial" w:cs="Arial"/>
          <w:b/>
          <w:color w:val="auto"/>
        </w:rPr>
      </w:pPr>
    </w:p>
    <w:p w:rsidR="00150BBC" w:rsidRPr="00B568A0" w:rsidRDefault="00150BBC" w:rsidP="00B568A0">
      <w:pPr>
        <w:pStyle w:val="NormalWeb"/>
        <w:spacing w:line="360" w:lineRule="auto"/>
        <w:ind w:right="720"/>
        <w:jc w:val="both"/>
        <w:rPr>
          <w:rFonts w:ascii="Arial" w:hAnsi="Arial" w:cs="Arial"/>
          <w:b/>
          <w:color w:val="auto"/>
        </w:rPr>
      </w:pPr>
      <w:r w:rsidRPr="00B568A0">
        <w:rPr>
          <w:rFonts w:ascii="Arial" w:hAnsi="Arial" w:cs="Arial"/>
          <w:b/>
          <w:color w:val="auto"/>
        </w:rPr>
        <w:t>4.0</w:t>
      </w:r>
      <w:r w:rsidRPr="00B568A0">
        <w:rPr>
          <w:rFonts w:ascii="Arial" w:hAnsi="Arial" w:cs="Arial"/>
          <w:b/>
          <w:color w:val="auto"/>
        </w:rPr>
        <w:tab/>
        <w:t>General</w:t>
      </w:r>
    </w:p>
    <w:p w:rsidR="0032173C" w:rsidRPr="00B568A0" w:rsidRDefault="00150BBC" w:rsidP="00B568A0">
      <w:pPr>
        <w:pStyle w:val="NormalWeb"/>
        <w:spacing w:line="360" w:lineRule="auto"/>
        <w:ind w:left="720" w:right="720" w:hanging="720"/>
        <w:jc w:val="both"/>
        <w:rPr>
          <w:rFonts w:ascii="Arial" w:hAnsi="Arial" w:cs="Arial"/>
          <w:color w:val="auto"/>
        </w:rPr>
      </w:pPr>
      <w:r w:rsidRPr="00B568A0">
        <w:rPr>
          <w:rFonts w:ascii="Arial" w:hAnsi="Arial" w:cs="Arial"/>
          <w:color w:val="auto"/>
        </w:rPr>
        <w:t>4.1</w:t>
      </w:r>
      <w:r w:rsidRPr="00B568A0">
        <w:rPr>
          <w:rFonts w:ascii="Arial" w:hAnsi="Arial" w:cs="Arial"/>
          <w:color w:val="auto"/>
        </w:rPr>
        <w:tab/>
        <w:t xml:space="preserve">In all cases </w:t>
      </w:r>
      <w:r w:rsidR="0032173C" w:rsidRPr="00B568A0">
        <w:rPr>
          <w:rFonts w:ascii="Arial" w:hAnsi="Arial" w:cs="Arial"/>
          <w:color w:val="auto"/>
        </w:rPr>
        <w:t>vouchers</w:t>
      </w:r>
      <w:r w:rsidRPr="00B568A0">
        <w:rPr>
          <w:rFonts w:ascii="Arial" w:hAnsi="Arial" w:cs="Arial"/>
          <w:color w:val="auto"/>
        </w:rPr>
        <w:t xml:space="preserve">/invoices and receipts to cover expenditure must </w:t>
      </w:r>
      <w:r w:rsidR="0032173C" w:rsidRPr="00B568A0">
        <w:rPr>
          <w:rFonts w:ascii="Arial" w:hAnsi="Arial" w:cs="Arial"/>
          <w:color w:val="auto"/>
        </w:rPr>
        <w:t>be obtained.</w:t>
      </w:r>
    </w:p>
    <w:p w:rsidR="00150BBC" w:rsidRPr="00B568A0" w:rsidRDefault="00150BBC" w:rsidP="00B568A0">
      <w:pPr>
        <w:pStyle w:val="NormalWeb"/>
        <w:spacing w:line="360" w:lineRule="auto"/>
        <w:ind w:left="720" w:right="720" w:hanging="720"/>
        <w:jc w:val="both"/>
        <w:rPr>
          <w:rFonts w:ascii="Arial" w:hAnsi="Arial" w:cs="Arial"/>
          <w:color w:val="auto"/>
        </w:rPr>
      </w:pPr>
      <w:r w:rsidRPr="00B568A0">
        <w:rPr>
          <w:rFonts w:ascii="Arial" w:hAnsi="Arial" w:cs="Arial"/>
          <w:color w:val="auto"/>
        </w:rPr>
        <w:t>4.2</w:t>
      </w:r>
      <w:r w:rsidRPr="00B568A0">
        <w:rPr>
          <w:rFonts w:ascii="Arial" w:hAnsi="Arial" w:cs="Arial"/>
          <w:color w:val="auto"/>
        </w:rPr>
        <w:tab/>
        <w:t>Expenditure on hospitality must be fully justified and integral to the successful delivery of the project as approved.</w:t>
      </w:r>
    </w:p>
    <w:p w:rsidR="00150BBC" w:rsidRPr="00B568A0" w:rsidRDefault="00150BBC" w:rsidP="00B568A0">
      <w:pPr>
        <w:pStyle w:val="NormalWeb"/>
        <w:spacing w:line="360" w:lineRule="auto"/>
        <w:ind w:left="720" w:right="720" w:hanging="720"/>
        <w:jc w:val="both"/>
        <w:rPr>
          <w:rFonts w:ascii="Arial" w:hAnsi="Arial" w:cs="Arial"/>
          <w:color w:val="auto"/>
        </w:rPr>
      </w:pPr>
      <w:r w:rsidRPr="00B568A0">
        <w:rPr>
          <w:rFonts w:ascii="Arial" w:hAnsi="Arial" w:cs="Arial"/>
          <w:color w:val="auto"/>
        </w:rPr>
        <w:t>4.3</w:t>
      </w:r>
      <w:r w:rsidRPr="00B568A0">
        <w:rPr>
          <w:rFonts w:ascii="Arial" w:hAnsi="Arial" w:cs="Arial"/>
          <w:color w:val="auto"/>
        </w:rPr>
        <w:tab/>
        <w:t>Expenditure on hospitality must be in full compliance with the terms and conditions of grant</w:t>
      </w:r>
      <w:r w:rsidR="00365A4C" w:rsidRPr="00B568A0">
        <w:rPr>
          <w:rFonts w:ascii="Arial" w:hAnsi="Arial" w:cs="Arial"/>
          <w:color w:val="auto"/>
        </w:rPr>
        <w:t xml:space="preserve"> </w:t>
      </w:r>
      <w:r w:rsidR="00163468" w:rsidRPr="00B568A0">
        <w:rPr>
          <w:rFonts w:ascii="Arial" w:hAnsi="Arial" w:cs="Arial"/>
          <w:color w:val="auto"/>
        </w:rPr>
        <w:t>(</w:t>
      </w:r>
      <w:r w:rsidR="00365A4C" w:rsidRPr="00B568A0">
        <w:rPr>
          <w:rFonts w:ascii="Arial" w:hAnsi="Arial" w:cs="Arial"/>
          <w:color w:val="auto"/>
        </w:rPr>
        <w:t>Letter of Offer</w:t>
      </w:r>
      <w:r w:rsidR="00163468" w:rsidRPr="00B568A0">
        <w:rPr>
          <w:rFonts w:ascii="Arial" w:hAnsi="Arial" w:cs="Arial"/>
          <w:color w:val="auto"/>
        </w:rPr>
        <w:t>)</w:t>
      </w:r>
      <w:r w:rsidRPr="00B568A0">
        <w:rPr>
          <w:rFonts w:ascii="Arial" w:hAnsi="Arial" w:cs="Arial"/>
          <w:color w:val="auto"/>
        </w:rPr>
        <w:t xml:space="preserve">. </w:t>
      </w:r>
    </w:p>
    <w:p w:rsidR="00B568A0" w:rsidRDefault="00B568A0" w:rsidP="00B568A0">
      <w:pPr>
        <w:pStyle w:val="NormalWeb"/>
        <w:spacing w:line="360" w:lineRule="auto"/>
        <w:ind w:right="720"/>
        <w:jc w:val="right"/>
        <w:rPr>
          <w:rFonts w:ascii="Arial" w:hAnsi="Arial" w:cs="Arial"/>
          <w:color w:val="auto"/>
        </w:rPr>
      </w:pPr>
    </w:p>
    <w:p w:rsidR="00B568A0" w:rsidRDefault="00B568A0" w:rsidP="00B568A0">
      <w:pPr>
        <w:pStyle w:val="NormalWeb"/>
        <w:spacing w:line="360" w:lineRule="auto"/>
        <w:ind w:right="720"/>
        <w:jc w:val="right"/>
        <w:rPr>
          <w:rFonts w:ascii="Arial" w:hAnsi="Arial" w:cs="Arial"/>
          <w:color w:val="auto"/>
        </w:rPr>
      </w:pPr>
    </w:p>
    <w:p w:rsidR="00B568A0" w:rsidRDefault="00B568A0" w:rsidP="00B568A0">
      <w:pPr>
        <w:pStyle w:val="NormalWeb"/>
        <w:spacing w:line="360" w:lineRule="auto"/>
        <w:ind w:right="720"/>
        <w:jc w:val="right"/>
        <w:rPr>
          <w:rFonts w:ascii="Arial" w:hAnsi="Arial" w:cs="Arial"/>
          <w:color w:val="auto"/>
        </w:rPr>
      </w:pPr>
    </w:p>
    <w:p w:rsidR="005112C3" w:rsidRDefault="00B568A0" w:rsidP="00B568A0">
      <w:pPr>
        <w:pStyle w:val="NormalWeb"/>
        <w:spacing w:line="360" w:lineRule="auto"/>
        <w:ind w:right="720"/>
        <w:jc w:val="right"/>
        <w:rPr>
          <w:rFonts w:ascii="Arial" w:hAnsi="Arial" w:cs="Arial"/>
          <w:color w:val="auto"/>
        </w:rPr>
      </w:pPr>
      <w:r>
        <w:rPr>
          <w:rFonts w:ascii="Arial" w:hAnsi="Arial" w:cs="Arial"/>
          <w:color w:val="auto"/>
        </w:rPr>
        <w:t>March 2013</w:t>
      </w:r>
    </w:p>
    <w:p w:rsidR="00C9202E" w:rsidRDefault="00C9202E" w:rsidP="00B568A0">
      <w:pPr>
        <w:pStyle w:val="NormalWeb"/>
        <w:spacing w:line="360" w:lineRule="auto"/>
        <w:ind w:right="720"/>
        <w:jc w:val="right"/>
        <w:rPr>
          <w:rFonts w:ascii="Arial" w:hAnsi="Arial" w:cs="Arial"/>
          <w:color w:val="auto"/>
        </w:rPr>
      </w:pPr>
      <w:r>
        <w:rPr>
          <w:rFonts w:ascii="Arial" w:hAnsi="Arial" w:cs="Arial"/>
          <w:color w:val="auto"/>
        </w:rPr>
        <w:t>Reviewed (no changes) Jan 2015</w:t>
      </w:r>
    </w:p>
    <w:sectPr w:rsidR="00C9202E" w:rsidSect="00B568A0">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3A9" w:rsidRDefault="00A543A9">
      <w:r>
        <w:separator/>
      </w:r>
    </w:p>
  </w:endnote>
  <w:endnote w:type="continuationSeparator" w:id="0">
    <w:p w:rsidR="00A543A9" w:rsidRDefault="00A543A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3A9" w:rsidRDefault="00A543A9">
      <w:r>
        <w:separator/>
      </w:r>
    </w:p>
  </w:footnote>
  <w:footnote w:type="continuationSeparator" w:id="0">
    <w:p w:rsidR="00A543A9" w:rsidRDefault="00A543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30B"/>
    <w:multiLevelType w:val="hybridMultilevel"/>
    <w:tmpl w:val="D8A247B0"/>
    <w:lvl w:ilvl="0" w:tplc="85DE1C16">
      <w:numFmt w:val="bullet"/>
      <w:lvlText w:val="-"/>
      <w:lvlJc w:val="left"/>
      <w:pPr>
        <w:tabs>
          <w:tab w:val="num" w:pos="0"/>
        </w:tabs>
        <w:ind w:left="36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E26FBB"/>
    <w:multiLevelType w:val="hybridMultilevel"/>
    <w:tmpl w:val="6A9A23AC"/>
    <w:lvl w:ilvl="0" w:tplc="9B66025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801CA4"/>
    <w:multiLevelType w:val="hybridMultilevel"/>
    <w:tmpl w:val="55C602C8"/>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9687979"/>
    <w:multiLevelType w:val="multilevel"/>
    <w:tmpl w:val="B0FE8CF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4A5F33"/>
    <w:multiLevelType w:val="hybridMultilevel"/>
    <w:tmpl w:val="D8A00568"/>
    <w:lvl w:ilvl="0" w:tplc="9B66025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BD602D"/>
    <w:multiLevelType w:val="hybridMultilevel"/>
    <w:tmpl w:val="6262DA3E"/>
    <w:lvl w:ilvl="0" w:tplc="9B660250">
      <w:numFmt w:val="bullet"/>
      <w:lvlText w:val="-"/>
      <w:lvlJc w:val="left"/>
      <w:pPr>
        <w:ind w:left="360" w:hanging="360"/>
      </w:pPr>
      <w:rPr>
        <w:rFonts w:ascii="Arial" w:eastAsia="Times New Roman" w:hAnsi="Arial" w:cs="Aria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D686E67"/>
    <w:multiLevelType w:val="multilevel"/>
    <w:tmpl w:val="934AF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666D88"/>
    <w:multiLevelType w:val="multilevel"/>
    <w:tmpl w:val="2E30459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EC51092"/>
    <w:multiLevelType w:val="multilevel"/>
    <w:tmpl w:val="B77EDFA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
    <w:nsid w:val="263E54DD"/>
    <w:multiLevelType w:val="hybridMultilevel"/>
    <w:tmpl w:val="B8F2BD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D8D452B"/>
    <w:multiLevelType w:val="multilevel"/>
    <w:tmpl w:val="7EB456F0"/>
    <w:lvl w:ilvl="0">
      <w:start w:val="4"/>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1">
    <w:nsid w:val="30711333"/>
    <w:multiLevelType w:val="multilevel"/>
    <w:tmpl w:val="4E88133E"/>
    <w:lvl w:ilvl="0">
      <w:start w:val="1"/>
      <w:numFmt w:val="low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8DC0C0C"/>
    <w:multiLevelType w:val="hybridMultilevel"/>
    <w:tmpl w:val="D95C35E8"/>
    <w:lvl w:ilvl="0" w:tplc="85DE1C16">
      <w:numFmt w:val="bullet"/>
      <w:lvlText w:val="-"/>
      <w:lvlJc w:val="left"/>
      <w:pPr>
        <w:tabs>
          <w:tab w:val="num" w:pos="0"/>
        </w:tabs>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80F2585"/>
    <w:multiLevelType w:val="hybridMultilevel"/>
    <w:tmpl w:val="86223AAE"/>
    <w:lvl w:ilvl="0" w:tplc="D0AABB8E">
      <w:start w:val="1"/>
      <w:numFmt w:val="lowerRoman"/>
      <w:lvlText w:val="%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14">
    <w:nsid w:val="48291271"/>
    <w:multiLevelType w:val="hybridMultilevel"/>
    <w:tmpl w:val="E2B61FB0"/>
    <w:lvl w:ilvl="0" w:tplc="C9A42D5E">
      <w:start w:val="1"/>
      <w:numFmt w:val="lowerLetter"/>
      <w:lvlText w:val="%1)"/>
      <w:lvlJc w:val="left"/>
      <w:pPr>
        <w:tabs>
          <w:tab w:val="num" w:pos="1710"/>
        </w:tabs>
        <w:ind w:left="1710" w:hanging="99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49686631"/>
    <w:multiLevelType w:val="hybridMultilevel"/>
    <w:tmpl w:val="88606B52"/>
    <w:lvl w:ilvl="0" w:tplc="77825C56">
      <w:start w:val="1"/>
      <w:numFmt w:val="bullet"/>
      <w:lvlText w:val=""/>
      <w:lvlJc w:val="left"/>
      <w:pPr>
        <w:tabs>
          <w:tab w:val="num" w:pos="284"/>
        </w:tabs>
        <w:ind w:left="284" w:hanging="284"/>
      </w:pPr>
      <w:rPr>
        <w:rFonts w:ascii="Symbol" w:hAnsi="Symbol" w:hint="default"/>
        <w:color w:val="auto"/>
        <w:spacing w:val="0"/>
        <w:w w:val="100"/>
        <w:position w:val="0"/>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16">
    <w:nsid w:val="49D400D6"/>
    <w:multiLevelType w:val="hybridMultilevel"/>
    <w:tmpl w:val="80EA3A5E"/>
    <w:lvl w:ilvl="0" w:tplc="9B66025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E740036"/>
    <w:multiLevelType w:val="multilevel"/>
    <w:tmpl w:val="B23C4D34"/>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284"/>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59746E03"/>
    <w:multiLevelType w:val="multilevel"/>
    <w:tmpl w:val="D55482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DDC0CF2"/>
    <w:multiLevelType w:val="hybridMultilevel"/>
    <w:tmpl w:val="9732FD62"/>
    <w:lvl w:ilvl="0" w:tplc="8084CDD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5ECB64FE"/>
    <w:multiLevelType w:val="hybridMultilevel"/>
    <w:tmpl w:val="58F29B48"/>
    <w:lvl w:ilvl="0" w:tplc="77825C56">
      <w:start w:val="1"/>
      <w:numFmt w:val="bullet"/>
      <w:lvlText w:val=""/>
      <w:lvlJc w:val="left"/>
      <w:pPr>
        <w:tabs>
          <w:tab w:val="num" w:pos="624"/>
        </w:tabs>
        <w:ind w:left="624" w:hanging="284"/>
      </w:pPr>
      <w:rPr>
        <w:rFonts w:ascii="Symbol" w:hAnsi="Symbol" w:hint="default"/>
        <w:color w:val="auto"/>
        <w:spacing w:val="0"/>
        <w:w w:val="100"/>
        <w:position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F904F48"/>
    <w:multiLevelType w:val="hybridMultilevel"/>
    <w:tmpl w:val="600C1240"/>
    <w:lvl w:ilvl="0" w:tplc="9B66025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FE6516D"/>
    <w:multiLevelType w:val="hybridMultilevel"/>
    <w:tmpl w:val="157A5E16"/>
    <w:lvl w:ilvl="0" w:tplc="77825C56">
      <w:start w:val="1"/>
      <w:numFmt w:val="bullet"/>
      <w:lvlText w:val=""/>
      <w:lvlJc w:val="left"/>
      <w:pPr>
        <w:tabs>
          <w:tab w:val="num" w:pos="624"/>
        </w:tabs>
        <w:ind w:left="624" w:hanging="284"/>
      </w:pPr>
      <w:rPr>
        <w:rFonts w:ascii="Symbol" w:hAnsi="Symbol" w:hint="default"/>
        <w:color w:val="auto"/>
        <w:spacing w:val="0"/>
        <w:w w:val="100"/>
        <w:position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1314D8F"/>
    <w:multiLevelType w:val="multilevel"/>
    <w:tmpl w:val="D0AABB8E"/>
    <w:lvl w:ilvl="0">
      <w:start w:val="1"/>
      <w:numFmt w:val="low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66C27A96"/>
    <w:multiLevelType w:val="hybridMultilevel"/>
    <w:tmpl w:val="45702958"/>
    <w:lvl w:ilvl="0" w:tplc="59466D3A">
      <w:start w:val="1"/>
      <w:numFmt w:val="bullet"/>
      <w:lvlText w:val=""/>
      <w:lvlJc w:val="left"/>
      <w:pPr>
        <w:tabs>
          <w:tab w:val="num" w:pos="720"/>
        </w:tabs>
        <w:ind w:left="720" w:hanging="360"/>
      </w:pPr>
      <w:rPr>
        <w:rFonts w:ascii="Symbol" w:hAnsi="Symbol" w:hint="default"/>
        <w:sz w:val="20"/>
      </w:rPr>
    </w:lvl>
    <w:lvl w:ilvl="1" w:tplc="C262C11A" w:tentative="1">
      <w:start w:val="1"/>
      <w:numFmt w:val="bullet"/>
      <w:lvlText w:val="o"/>
      <w:lvlJc w:val="left"/>
      <w:pPr>
        <w:tabs>
          <w:tab w:val="num" w:pos="1440"/>
        </w:tabs>
        <w:ind w:left="1440" w:hanging="360"/>
      </w:pPr>
      <w:rPr>
        <w:rFonts w:ascii="Courier New" w:hAnsi="Courier New" w:hint="default"/>
        <w:sz w:val="20"/>
      </w:rPr>
    </w:lvl>
    <w:lvl w:ilvl="2" w:tplc="BDC23548" w:tentative="1">
      <w:start w:val="1"/>
      <w:numFmt w:val="bullet"/>
      <w:lvlText w:val=""/>
      <w:lvlJc w:val="left"/>
      <w:pPr>
        <w:tabs>
          <w:tab w:val="num" w:pos="2160"/>
        </w:tabs>
        <w:ind w:left="2160" w:hanging="360"/>
      </w:pPr>
      <w:rPr>
        <w:rFonts w:ascii="Wingdings" w:hAnsi="Wingdings" w:hint="default"/>
        <w:sz w:val="20"/>
      </w:rPr>
    </w:lvl>
    <w:lvl w:ilvl="3" w:tplc="8F66DBFC" w:tentative="1">
      <w:start w:val="1"/>
      <w:numFmt w:val="bullet"/>
      <w:lvlText w:val=""/>
      <w:lvlJc w:val="left"/>
      <w:pPr>
        <w:tabs>
          <w:tab w:val="num" w:pos="2880"/>
        </w:tabs>
        <w:ind w:left="2880" w:hanging="360"/>
      </w:pPr>
      <w:rPr>
        <w:rFonts w:ascii="Wingdings" w:hAnsi="Wingdings" w:hint="default"/>
        <w:sz w:val="20"/>
      </w:rPr>
    </w:lvl>
    <w:lvl w:ilvl="4" w:tplc="F808F5F6" w:tentative="1">
      <w:start w:val="1"/>
      <w:numFmt w:val="bullet"/>
      <w:lvlText w:val=""/>
      <w:lvlJc w:val="left"/>
      <w:pPr>
        <w:tabs>
          <w:tab w:val="num" w:pos="3600"/>
        </w:tabs>
        <w:ind w:left="3600" w:hanging="360"/>
      </w:pPr>
      <w:rPr>
        <w:rFonts w:ascii="Wingdings" w:hAnsi="Wingdings" w:hint="default"/>
        <w:sz w:val="20"/>
      </w:rPr>
    </w:lvl>
    <w:lvl w:ilvl="5" w:tplc="A1C0B512" w:tentative="1">
      <w:start w:val="1"/>
      <w:numFmt w:val="bullet"/>
      <w:lvlText w:val=""/>
      <w:lvlJc w:val="left"/>
      <w:pPr>
        <w:tabs>
          <w:tab w:val="num" w:pos="4320"/>
        </w:tabs>
        <w:ind w:left="4320" w:hanging="360"/>
      </w:pPr>
      <w:rPr>
        <w:rFonts w:ascii="Wingdings" w:hAnsi="Wingdings" w:hint="default"/>
        <w:sz w:val="20"/>
      </w:rPr>
    </w:lvl>
    <w:lvl w:ilvl="6" w:tplc="11E86466" w:tentative="1">
      <w:start w:val="1"/>
      <w:numFmt w:val="bullet"/>
      <w:lvlText w:val=""/>
      <w:lvlJc w:val="left"/>
      <w:pPr>
        <w:tabs>
          <w:tab w:val="num" w:pos="5040"/>
        </w:tabs>
        <w:ind w:left="5040" w:hanging="360"/>
      </w:pPr>
      <w:rPr>
        <w:rFonts w:ascii="Wingdings" w:hAnsi="Wingdings" w:hint="default"/>
        <w:sz w:val="20"/>
      </w:rPr>
    </w:lvl>
    <w:lvl w:ilvl="7" w:tplc="31A61A2A" w:tentative="1">
      <w:start w:val="1"/>
      <w:numFmt w:val="bullet"/>
      <w:lvlText w:val=""/>
      <w:lvlJc w:val="left"/>
      <w:pPr>
        <w:tabs>
          <w:tab w:val="num" w:pos="5760"/>
        </w:tabs>
        <w:ind w:left="5760" w:hanging="360"/>
      </w:pPr>
      <w:rPr>
        <w:rFonts w:ascii="Wingdings" w:hAnsi="Wingdings" w:hint="default"/>
        <w:sz w:val="20"/>
      </w:rPr>
    </w:lvl>
    <w:lvl w:ilvl="8" w:tplc="0DA6F750"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4D3DCE"/>
    <w:multiLevelType w:val="multilevel"/>
    <w:tmpl w:val="600C1240"/>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70536D87"/>
    <w:multiLevelType w:val="hybridMultilevel"/>
    <w:tmpl w:val="30DAA8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0AE19DD"/>
    <w:multiLevelType w:val="multilevel"/>
    <w:tmpl w:val="EC60B1B6"/>
    <w:lvl w:ilvl="0">
      <w:start w:val="2"/>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717742E5"/>
    <w:multiLevelType w:val="multilevel"/>
    <w:tmpl w:val="18E69060"/>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1FF01DE"/>
    <w:multiLevelType w:val="hybridMultilevel"/>
    <w:tmpl w:val="C23C2D4E"/>
    <w:lvl w:ilvl="0" w:tplc="77825C56">
      <w:start w:val="1"/>
      <w:numFmt w:val="bullet"/>
      <w:lvlText w:val=""/>
      <w:lvlJc w:val="left"/>
      <w:pPr>
        <w:tabs>
          <w:tab w:val="num" w:pos="284"/>
        </w:tabs>
        <w:ind w:left="284" w:hanging="284"/>
      </w:pPr>
      <w:rPr>
        <w:rFonts w:ascii="Symbol" w:hAnsi="Symbol" w:hint="default"/>
        <w:color w:val="auto"/>
        <w:spacing w:val="0"/>
        <w:w w:val="100"/>
        <w:position w:val="0"/>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30">
    <w:nsid w:val="75C60BCA"/>
    <w:multiLevelType w:val="hybridMultilevel"/>
    <w:tmpl w:val="E856F160"/>
    <w:lvl w:ilvl="0" w:tplc="77825C56">
      <w:start w:val="1"/>
      <w:numFmt w:val="bullet"/>
      <w:lvlText w:val=""/>
      <w:lvlJc w:val="left"/>
      <w:pPr>
        <w:tabs>
          <w:tab w:val="num" w:pos="624"/>
        </w:tabs>
        <w:ind w:left="624" w:hanging="284"/>
      </w:pPr>
      <w:rPr>
        <w:rFonts w:ascii="Symbol" w:hAnsi="Symbol" w:hint="default"/>
        <w:color w:val="auto"/>
        <w:spacing w:val="0"/>
        <w:w w:val="100"/>
        <w:position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30"/>
  </w:num>
  <w:num w:numId="7">
    <w:abstractNumId w:val="20"/>
  </w:num>
  <w:num w:numId="8">
    <w:abstractNumId w:val="15"/>
  </w:num>
  <w:num w:numId="9">
    <w:abstractNumId w:val="22"/>
  </w:num>
  <w:num w:numId="10">
    <w:abstractNumId w:val="2"/>
  </w:num>
  <w:num w:numId="11">
    <w:abstractNumId w:val="18"/>
  </w:num>
  <w:num w:numId="12">
    <w:abstractNumId w:val="29"/>
  </w:num>
  <w:num w:numId="13">
    <w:abstractNumId w:val="5"/>
  </w:num>
  <w:num w:numId="14">
    <w:abstractNumId w:val="4"/>
  </w:num>
  <w:num w:numId="15">
    <w:abstractNumId w:val="21"/>
  </w:num>
  <w:num w:numId="16">
    <w:abstractNumId w:val="16"/>
  </w:num>
  <w:num w:numId="17">
    <w:abstractNumId w:val="1"/>
  </w:num>
  <w:num w:numId="18">
    <w:abstractNumId w:val="25"/>
  </w:num>
  <w:num w:numId="19">
    <w:abstractNumId w:val="12"/>
  </w:num>
  <w:num w:numId="20">
    <w:abstractNumId w:val="0"/>
  </w:num>
  <w:num w:numId="21">
    <w:abstractNumId w:val="26"/>
  </w:num>
  <w:num w:numId="22">
    <w:abstractNumId w:val="13"/>
  </w:num>
  <w:num w:numId="23">
    <w:abstractNumId w:val="7"/>
  </w:num>
  <w:num w:numId="24">
    <w:abstractNumId w:val="23"/>
  </w:num>
  <w:num w:numId="25">
    <w:abstractNumId w:val="11"/>
  </w:num>
  <w:num w:numId="26">
    <w:abstractNumId w:val="28"/>
  </w:num>
  <w:num w:numId="27">
    <w:abstractNumId w:val="24"/>
  </w:num>
  <w:num w:numId="28">
    <w:abstractNumId w:val="19"/>
  </w:num>
  <w:num w:numId="29">
    <w:abstractNumId w:val="10"/>
  </w:num>
  <w:num w:numId="30">
    <w:abstractNumId w:val="3"/>
  </w:num>
  <w:num w:numId="31">
    <w:abstractNumId w:val="8"/>
  </w:num>
  <w:num w:numId="32">
    <w:abstractNumId w:val="6"/>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6B51"/>
    <w:rsid w:val="00005925"/>
    <w:rsid w:val="000123C6"/>
    <w:rsid w:val="00033336"/>
    <w:rsid w:val="000415D7"/>
    <w:rsid w:val="000677B8"/>
    <w:rsid w:val="000B3FC3"/>
    <w:rsid w:val="000D5823"/>
    <w:rsid w:val="00100D93"/>
    <w:rsid w:val="00126733"/>
    <w:rsid w:val="00150BBC"/>
    <w:rsid w:val="00163468"/>
    <w:rsid w:val="001D1D34"/>
    <w:rsid w:val="001F663F"/>
    <w:rsid w:val="00251DFF"/>
    <w:rsid w:val="002C3ED1"/>
    <w:rsid w:val="002E7760"/>
    <w:rsid w:val="002F1AF7"/>
    <w:rsid w:val="002F4BA8"/>
    <w:rsid w:val="00306B51"/>
    <w:rsid w:val="0032173C"/>
    <w:rsid w:val="00334DA1"/>
    <w:rsid w:val="00365A4C"/>
    <w:rsid w:val="003B4A97"/>
    <w:rsid w:val="003B63A3"/>
    <w:rsid w:val="003D5601"/>
    <w:rsid w:val="00404A1B"/>
    <w:rsid w:val="004106C9"/>
    <w:rsid w:val="00412B8A"/>
    <w:rsid w:val="00414575"/>
    <w:rsid w:val="00451056"/>
    <w:rsid w:val="004513CE"/>
    <w:rsid w:val="004769FF"/>
    <w:rsid w:val="00490FA5"/>
    <w:rsid w:val="004A0126"/>
    <w:rsid w:val="004A58A2"/>
    <w:rsid w:val="004B7C9E"/>
    <w:rsid w:val="00505B77"/>
    <w:rsid w:val="005112C3"/>
    <w:rsid w:val="005B5077"/>
    <w:rsid w:val="00641832"/>
    <w:rsid w:val="00685148"/>
    <w:rsid w:val="00690039"/>
    <w:rsid w:val="00696AA5"/>
    <w:rsid w:val="006A3125"/>
    <w:rsid w:val="006A5354"/>
    <w:rsid w:val="00711FF2"/>
    <w:rsid w:val="007A38D6"/>
    <w:rsid w:val="008471C4"/>
    <w:rsid w:val="00934974"/>
    <w:rsid w:val="009E3817"/>
    <w:rsid w:val="00A12303"/>
    <w:rsid w:val="00A543A9"/>
    <w:rsid w:val="00AC62AD"/>
    <w:rsid w:val="00B06D28"/>
    <w:rsid w:val="00B568A0"/>
    <w:rsid w:val="00BF6D02"/>
    <w:rsid w:val="00C9202E"/>
    <w:rsid w:val="00CA3805"/>
    <w:rsid w:val="00D956BF"/>
    <w:rsid w:val="00D97398"/>
    <w:rsid w:val="00DD7B0E"/>
    <w:rsid w:val="00E63208"/>
    <w:rsid w:val="00E91249"/>
    <w:rsid w:val="00EA26DA"/>
    <w:rsid w:val="00EA58EE"/>
    <w:rsid w:val="00F12E71"/>
    <w:rsid w:val="00F25F3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02E"/>
    <w:pPr>
      <w:spacing w:after="200" w:line="276" w:lineRule="auto"/>
    </w:pPr>
    <w:rPr>
      <w:rFonts w:asciiTheme="minorHAnsi" w:eastAsiaTheme="minorHAnsi" w:hAnsiTheme="minorHAnsi" w:cstheme="minorBidi"/>
      <w:sz w:val="22"/>
      <w:szCs w:val="22"/>
      <w:lang w:eastAsia="en-US"/>
    </w:rPr>
  </w:style>
  <w:style w:type="paragraph" w:styleId="Heading3">
    <w:name w:val="heading 3"/>
    <w:basedOn w:val="Normal"/>
    <w:next w:val="Normal"/>
    <w:qFormat/>
    <w:rsid w:val="00306B51"/>
    <w:pPr>
      <w:keepNext/>
      <w:outlineLvl w:val="2"/>
    </w:pPr>
    <w:rPr>
      <w:b/>
      <w:bCs/>
      <w:iCs/>
      <w:lang w:eastAsia="en-GB"/>
    </w:rPr>
  </w:style>
  <w:style w:type="character" w:default="1" w:styleId="DefaultParagraphFont">
    <w:name w:val="Default Paragraph Font"/>
    <w:uiPriority w:val="1"/>
    <w:semiHidden/>
    <w:unhideWhenUsed/>
    <w:rsid w:val="00C9202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9202E"/>
  </w:style>
  <w:style w:type="paragraph" w:styleId="ListParagraph">
    <w:name w:val="List Paragraph"/>
    <w:basedOn w:val="Normal"/>
    <w:qFormat/>
    <w:rsid w:val="002E7760"/>
    <w:pPr>
      <w:ind w:left="720"/>
      <w:contextualSpacing/>
    </w:pPr>
  </w:style>
  <w:style w:type="paragraph" w:styleId="NormalWeb">
    <w:name w:val="Normal (Web)"/>
    <w:basedOn w:val="Normal"/>
    <w:rsid w:val="000D5823"/>
    <w:pPr>
      <w:spacing w:before="100" w:beforeAutospacing="1" w:after="100" w:afterAutospacing="1"/>
    </w:pPr>
    <w:rPr>
      <w:rFonts w:ascii="Arial Unicode MS" w:eastAsia="Arial Unicode MS" w:hAnsi="Arial Unicode MS" w:cs="Arial Unicode MS"/>
      <w:color w:val="000080"/>
    </w:rPr>
  </w:style>
  <w:style w:type="character" w:styleId="Strong">
    <w:name w:val="Strong"/>
    <w:basedOn w:val="DefaultParagraphFont"/>
    <w:qFormat/>
    <w:rsid w:val="000D5823"/>
    <w:rPr>
      <w:b/>
      <w:bCs/>
    </w:rPr>
  </w:style>
  <w:style w:type="paragraph" w:styleId="Header">
    <w:name w:val="header"/>
    <w:basedOn w:val="Normal"/>
    <w:rsid w:val="002F1AF7"/>
    <w:pPr>
      <w:tabs>
        <w:tab w:val="center" w:pos="4153"/>
        <w:tab w:val="right" w:pos="8306"/>
      </w:tabs>
    </w:pPr>
  </w:style>
  <w:style w:type="paragraph" w:styleId="Footer">
    <w:name w:val="footer"/>
    <w:basedOn w:val="Normal"/>
    <w:rsid w:val="002F1AF7"/>
    <w:pPr>
      <w:tabs>
        <w:tab w:val="center" w:pos="4153"/>
        <w:tab w:val="right" w:pos="8306"/>
      </w:tabs>
    </w:pPr>
  </w:style>
  <w:style w:type="paragraph" w:styleId="BalloonText">
    <w:name w:val="Balloon Text"/>
    <w:basedOn w:val="Normal"/>
    <w:link w:val="BalloonTextChar"/>
    <w:rsid w:val="007A3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38D6"/>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8667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ecure.detini.gov.uk/deti/competitive_logo.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3677</Characters>
  <Application>Microsoft Office Word</Application>
  <DocSecurity>0</DocSecurity>
  <Lines>91</Lines>
  <Paragraphs>39</Paragraphs>
  <ScaleCrop>false</ScaleCrop>
  <HeadingPairs>
    <vt:vector size="2" baseType="variant">
      <vt:variant>
        <vt:lpstr>Title</vt:lpstr>
      </vt:variant>
      <vt:variant>
        <vt:i4>1</vt:i4>
      </vt:variant>
    </vt:vector>
  </HeadingPairs>
  <TitlesOfParts>
    <vt:vector size="1" baseType="lpstr">
      <vt:lpstr>GUIDANCE ON THE AUDIT TRAIL</vt:lpstr>
    </vt:vector>
  </TitlesOfParts>
  <Company>Special EU Programmes Body</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AUDIT TRAIL</dc:title>
  <dc:creator>hamiltonm</dc:creator>
  <cp:lastModifiedBy>Berni Mooney</cp:lastModifiedBy>
  <cp:revision>4</cp:revision>
  <cp:lastPrinted>2009-10-08T09:43:00Z</cp:lastPrinted>
  <dcterms:created xsi:type="dcterms:W3CDTF">2013-03-14T11:34:00Z</dcterms:created>
  <dcterms:modified xsi:type="dcterms:W3CDTF">2015-01-21T14:38:00Z</dcterms:modified>
</cp:coreProperties>
</file>