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16" w:rsidRDefault="00C57616" w:rsidP="00C57616">
      <w:pPr>
        <w:autoSpaceDE w:val="0"/>
        <w:autoSpaceDN w:val="0"/>
        <w:adjustRightInd w:val="0"/>
        <w:spacing w:line="360" w:lineRule="auto"/>
        <w:jc w:val="center"/>
        <w:rPr>
          <w:rFonts w:ascii="Arial" w:hAnsi="Arial" w:cs="Arial"/>
          <w:b/>
          <w:sz w:val="28"/>
          <w:szCs w:val="28"/>
        </w:rPr>
      </w:pPr>
    </w:p>
    <w:p w:rsidR="00C57616" w:rsidRDefault="00C57616" w:rsidP="00C57616">
      <w:pPr>
        <w:autoSpaceDE w:val="0"/>
        <w:autoSpaceDN w:val="0"/>
        <w:adjustRightInd w:val="0"/>
        <w:spacing w:line="360" w:lineRule="auto"/>
        <w:jc w:val="center"/>
        <w:rPr>
          <w:rFonts w:ascii="Arial" w:hAnsi="Arial" w:cs="Arial"/>
          <w:b/>
          <w:sz w:val="28"/>
          <w:szCs w:val="28"/>
        </w:rPr>
      </w:pPr>
    </w:p>
    <w:p w:rsidR="00C57616" w:rsidRPr="008257B1" w:rsidRDefault="00C57616" w:rsidP="00C57616">
      <w:pPr>
        <w:autoSpaceDE w:val="0"/>
        <w:autoSpaceDN w:val="0"/>
        <w:adjustRightInd w:val="0"/>
        <w:spacing w:line="360" w:lineRule="auto"/>
        <w:jc w:val="center"/>
        <w:rPr>
          <w:rFonts w:ascii="Arial" w:hAnsi="Arial" w:cs="Arial"/>
          <w:b/>
          <w:sz w:val="28"/>
          <w:szCs w:val="28"/>
        </w:rPr>
      </w:pPr>
      <w:r w:rsidRPr="008257B1">
        <w:rPr>
          <w:rFonts w:ascii="Arial" w:hAnsi="Arial" w:cs="Arial"/>
          <w:b/>
          <w:sz w:val="28"/>
          <w:szCs w:val="28"/>
        </w:rPr>
        <w:t>THE EUROPEAN SUSTAINABLE COMPETITIVENESS PROGRAMME FOR NORTHERN IRELAND 2007-2013</w:t>
      </w:r>
    </w:p>
    <w:p w:rsidR="00C57616" w:rsidRPr="008257B1" w:rsidRDefault="00C57616" w:rsidP="00C57616">
      <w:pPr>
        <w:autoSpaceDE w:val="0"/>
        <w:autoSpaceDN w:val="0"/>
        <w:adjustRightInd w:val="0"/>
        <w:spacing w:line="360" w:lineRule="auto"/>
        <w:jc w:val="center"/>
        <w:rPr>
          <w:rFonts w:ascii="Arial" w:hAnsi="Arial" w:cs="Arial"/>
          <w:b/>
        </w:rPr>
      </w:pPr>
    </w:p>
    <w:p w:rsidR="00C91DFC" w:rsidRPr="001249B8" w:rsidRDefault="00C91DFC" w:rsidP="001249B8">
      <w:pPr>
        <w:spacing w:line="360" w:lineRule="auto"/>
        <w:jc w:val="center"/>
        <w:rPr>
          <w:rFonts w:ascii="Arial" w:hAnsi="Arial" w:cs="Arial"/>
          <w:b/>
          <w:bCs/>
        </w:rPr>
      </w:pPr>
    </w:p>
    <w:p w:rsidR="00C91DFC" w:rsidRDefault="00C57616" w:rsidP="001249B8">
      <w:pPr>
        <w:spacing w:line="360" w:lineRule="auto"/>
        <w:jc w:val="center"/>
        <w:rPr>
          <w:rFonts w:ascii="Arial" w:hAnsi="Arial" w:cs="Arial"/>
          <w:b/>
          <w:bCs/>
        </w:rPr>
      </w:pPr>
      <w:r>
        <w:rPr>
          <w:rFonts w:ascii="Arial" w:hAnsi="Arial" w:cs="Arial"/>
          <w:b/>
          <w:bCs/>
        </w:rPr>
        <w:t>MANAGING AUTHORITY GUIDANCE ON THE DISPOSAL OF FUNDED ASSETS</w:t>
      </w:r>
    </w:p>
    <w:p w:rsidR="00AF7036" w:rsidRPr="001249B8" w:rsidRDefault="00AF7036" w:rsidP="001249B8">
      <w:pPr>
        <w:spacing w:line="360" w:lineRule="auto"/>
        <w:jc w:val="center"/>
        <w:rPr>
          <w:rFonts w:ascii="Arial" w:hAnsi="Arial" w:cs="Arial"/>
          <w:b/>
          <w:bCs/>
        </w:rPr>
      </w:pPr>
      <w:r>
        <w:rPr>
          <w:rFonts w:ascii="Arial" w:hAnsi="Arial" w:cs="Arial"/>
          <w:b/>
          <w:bCs/>
        </w:rPr>
        <w:t>(Updated Jan 2015)</w:t>
      </w:r>
    </w:p>
    <w:p w:rsidR="00C91DFC" w:rsidRPr="001249B8" w:rsidRDefault="007C1FCE" w:rsidP="001249B8">
      <w:pPr>
        <w:spacing w:line="360" w:lineRule="auto"/>
        <w:jc w:val="center"/>
        <w:rPr>
          <w:rFonts w:ascii="Arial" w:hAnsi="Arial" w:cs="Arial"/>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91.8pt">
            <v:imagedata r:id="rId7" r:href="rId8"/>
          </v:shape>
        </w:pict>
      </w:r>
    </w:p>
    <w:p w:rsidR="00916968" w:rsidRDefault="00916968" w:rsidP="001249B8">
      <w:pPr>
        <w:pStyle w:val="Heading3"/>
        <w:spacing w:line="360" w:lineRule="auto"/>
        <w:rPr>
          <w:rFonts w:ascii="Arial" w:hAnsi="Arial" w:cs="Arial"/>
          <w:bCs w:val="0"/>
          <w:szCs w:val="24"/>
        </w:rPr>
      </w:pPr>
    </w:p>
    <w:p w:rsidR="00C91DFC" w:rsidRPr="00C57616" w:rsidRDefault="00C91DFC" w:rsidP="001249B8">
      <w:pPr>
        <w:pStyle w:val="Heading3"/>
        <w:spacing w:line="360" w:lineRule="auto"/>
        <w:rPr>
          <w:rFonts w:ascii="Arial" w:hAnsi="Arial" w:cs="Arial"/>
          <w:bCs w:val="0"/>
          <w:szCs w:val="24"/>
        </w:rPr>
      </w:pPr>
      <w:r w:rsidRPr="00C57616">
        <w:rPr>
          <w:rFonts w:ascii="Arial" w:hAnsi="Arial" w:cs="Arial"/>
          <w:bCs w:val="0"/>
          <w:szCs w:val="24"/>
        </w:rPr>
        <w:t>1.</w:t>
      </w:r>
      <w:r w:rsidR="00C57616" w:rsidRPr="00C57616">
        <w:rPr>
          <w:rFonts w:ascii="Arial" w:hAnsi="Arial" w:cs="Arial"/>
          <w:bCs w:val="0"/>
          <w:szCs w:val="24"/>
        </w:rPr>
        <w:t>0</w:t>
      </w:r>
      <w:r w:rsidRPr="00C57616">
        <w:rPr>
          <w:rFonts w:ascii="Arial" w:hAnsi="Arial" w:cs="Arial"/>
          <w:bCs w:val="0"/>
          <w:szCs w:val="24"/>
        </w:rPr>
        <w:tab/>
        <w:t>Introduction</w:t>
      </w:r>
    </w:p>
    <w:p w:rsidR="00C57616" w:rsidRPr="00916968" w:rsidRDefault="00C91DFC" w:rsidP="00916968">
      <w:pPr>
        <w:spacing w:before="240" w:line="360" w:lineRule="auto"/>
        <w:ind w:left="720" w:hanging="720"/>
        <w:jc w:val="both"/>
        <w:rPr>
          <w:rFonts w:ascii="Arial" w:hAnsi="Arial" w:cs="Arial"/>
          <w:color w:val="000000"/>
        </w:rPr>
      </w:pPr>
      <w:r w:rsidRPr="001249B8">
        <w:rPr>
          <w:rFonts w:ascii="Arial" w:hAnsi="Arial" w:cs="Arial"/>
          <w:color w:val="000000"/>
        </w:rPr>
        <w:t>1.1</w:t>
      </w:r>
      <w:r w:rsidRPr="001249B8">
        <w:rPr>
          <w:rFonts w:ascii="Arial" w:hAnsi="Arial" w:cs="Arial"/>
          <w:color w:val="000000"/>
        </w:rPr>
        <w:tab/>
        <w:t xml:space="preserve">It is important that appropriate terms and conditions are set where public funding is to be used for the acquisition of assets. When granting funds to acquire or develop assets it is essential to take suitable and proportionate steps to safeguard the financial investment. </w:t>
      </w:r>
    </w:p>
    <w:p w:rsidR="00916968" w:rsidRDefault="00C91DFC" w:rsidP="001249B8">
      <w:pPr>
        <w:spacing w:line="360" w:lineRule="auto"/>
        <w:ind w:left="720" w:hanging="720"/>
        <w:rPr>
          <w:rFonts w:ascii="Arial" w:hAnsi="Arial" w:cs="Arial"/>
        </w:rPr>
      </w:pPr>
      <w:r w:rsidRPr="001249B8">
        <w:rPr>
          <w:rFonts w:ascii="Arial" w:hAnsi="Arial" w:cs="Arial"/>
        </w:rPr>
        <w:t>1.2</w:t>
      </w:r>
      <w:r w:rsidRPr="001249B8">
        <w:rPr>
          <w:rFonts w:ascii="Arial" w:hAnsi="Arial" w:cs="Arial"/>
        </w:rPr>
        <w:tab/>
        <w:t xml:space="preserve">Managing Public Money Northern Ireland (MPMNI), and in particular, Annex 5.2 entitled ‘Protecting Public Instruments (Clawback)’, provides full guidance on the terms applicable to grants for the acquisition or improvement of assets and is available at:  </w:t>
      </w:r>
      <w:hyperlink r:id="rId9" w:history="1">
        <w:r w:rsidR="00916968" w:rsidRPr="00AA2ABC">
          <w:rPr>
            <w:rStyle w:val="Hyperlink"/>
            <w:rFonts w:ascii="Arial" w:hAnsi="Arial" w:cs="Arial"/>
          </w:rPr>
          <w:t>http://www.dfpni.gov.uk/index/finance/afmd/afmd-key-guidance/afmd-mpmni.htm</w:t>
        </w:r>
      </w:hyperlink>
    </w:p>
    <w:p w:rsidR="00C91DFC" w:rsidRPr="001249B8" w:rsidRDefault="00C91DFC" w:rsidP="001249B8">
      <w:pPr>
        <w:spacing w:line="360" w:lineRule="auto"/>
        <w:ind w:left="720" w:hanging="720"/>
        <w:rPr>
          <w:rFonts w:ascii="Arial" w:hAnsi="Arial" w:cs="Arial"/>
        </w:rPr>
      </w:pPr>
      <w:r w:rsidRPr="001249B8">
        <w:rPr>
          <w:rFonts w:ascii="Arial" w:hAnsi="Arial" w:cs="Arial"/>
        </w:rPr>
        <w:t xml:space="preserve"> </w:t>
      </w:r>
      <w:r w:rsidR="00916968">
        <w:rPr>
          <w:rFonts w:ascii="Arial" w:hAnsi="Arial" w:cs="Arial"/>
        </w:rPr>
        <w:tab/>
      </w:r>
      <w:r w:rsidRPr="001249B8">
        <w:rPr>
          <w:rFonts w:ascii="Arial" w:hAnsi="Arial" w:cs="Arial"/>
        </w:rPr>
        <w:t xml:space="preserve">Further advice is contained in DAO (DFP) 16/05 re </w:t>
      </w:r>
      <w:proofErr w:type="spellStart"/>
      <w:r w:rsidRPr="001249B8">
        <w:rPr>
          <w:rFonts w:ascii="Arial" w:hAnsi="Arial" w:cs="Arial"/>
        </w:rPr>
        <w:t>Clawback</w:t>
      </w:r>
      <w:proofErr w:type="spellEnd"/>
      <w:r w:rsidRPr="001249B8">
        <w:rPr>
          <w:rFonts w:ascii="Arial" w:hAnsi="Arial" w:cs="Arial"/>
        </w:rPr>
        <w:t>: Disposal of Publicly Funded Assets.</w:t>
      </w:r>
    </w:p>
    <w:p w:rsidR="00C91DFC" w:rsidRPr="001249B8" w:rsidRDefault="00C91DFC" w:rsidP="001249B8">
      <w:pPr>
        <w:spacing w:before="240" w:line="360" w:lineRule="auto"/>
        <w:ind w:left="720" w:hanging="720"/>
        <w:jc w:val="both"/>
        <w:rPr>
          <w:rFonts w:ascii="Arial" w:hAnsi="Arial" w:cs="Arial"/>
        </w:rPr>
      </w:pPr>
      <w:r w:rsidRPr="001249B8">
        <w:rPr>
          <w:rFonts w:ascii="Arial" w:hAnsi="Arial" w:cs="Arial"/>
        </w:rPr>
        <w:t>1.3</w:t>
      </w:r>
      <w:r w:rsidRPr="001249B8">
        <w:rPr>
          <w:rFonts w:ascii="Arial" w:hAnsi="Arial" w:cs="Arial"/>
        </w:rPr>
        <w:tab/>
        <w:t>In addition to</w:t>
      </w:r>
      <w:r w:rsidR="0083291D">
        <w:rPr>
          <w:rFonts w:ascii="Arial" w:hAnsi="Arial" w:cs="Arial"/>
        </w:rPr>
        <w:t xml:space="preserve"> compliance with</w:t>
      </w:r>
      <w:r w:rsidRPr="001249B8">
        <w:rPr>
          <w:rFonts w:ascii="Arial" w:hAnsi="Arial" w:cs="Arial"/>
        </w:rPr>
        <w:t xml:space="preserve"> national requirements, Article 57 of Council Regulation (EC) 1083/2006</w:t>
      </w:r>
      <w:r w:rsidR="005054AE">
        <w:rPr>
          <w:rFonts w:ascii="Arial" w:hAnsi="Arial" w:cs="Arial"/>
        </w:rPr>
        <w:t xml:space="preserve"> </w:t>
      </w:r>
      <w:r w:rsidRPr="001249B8">
        <w:rPr>
          <w:rFonts w:ascii="Arial" w:hAnsi="Arial" w:cs="Arial"/>
        </w:rPr>
        <w:t>establishes</w:t>
      </w:r>
      <w:r w:rsidR="005054AE">
        <w:rPr>
          <w:rFonts w:ascii="Arial" w:hAnsi="Arial" w:cs="Arial"/>
        </w:rPr>
        <w:t xml:space="preserve"> </w:t>
      </w:r>
      <w:r w:rsidR="0083291D">
        <w:rPr>
          <w:rFonts w:ascii="Arial" w:hAnsi="Arial" w:cs="Arial"/>
        </w:rPr>
        <w:t>a</w:t>
      </w:r>
      <w:r w:rsidRPr="001249B8">
        <w:rPr>
          <w:rFonts w:ascii="Arial" w:hAnsi="Arial" w:cs="Arial"/>
        </w:rPr>
        <w:t xml:space="preserve">dditional obligations </w:t>
      </w:r>
      <w:r w:rsidR="0083291D">
        <w:rPr>
          <w:rFonts w:ascii="Arial" w:hAnsi="Arial" w:cs="Arial"/>
        </w:rPr>
        <w:t xml:space="preserve">on the Intermediate Body </w:t>
      </w:r>
      <w:r w:rsidRPr="001249B8">
        <w:rPr>
          <w:rFonts w:ascii="Arial" w:hAnsi="Arial" w:cs="Arial"/>
        </w:rPr>
        <w:t>to ensure that operations receiving European funding are maintained for an appropriate period following their completion.</w:t>
      </w:r>
    </w:p>
    <w:p w:rsidR="00C91DFC" w:rsidRPr="001249B8" w:rsidRDefault="00C91DFC" w:rsidP="001249B8">
      <w:pPr>
        <w:spacing w:before="240" w:line="360" w:lineRule="auto"/>
        <w:ind w:left="720" w:hanging="720"/>
        <w:jc w:val="both"/>
        <w:rPr>
          <w:rFonts w:ascii="Arial" w:hAnsi="Arial" w:cs="Arial"/>
          <w:color w:val="000000"/>
        </w:rPr>
      </w:pPr>
      <w:r w:rsidRPr="001249B8">
        <w:rPr>
          <w:rFonts w:ascii="Arial" w:hAnsi="Arial" w:cs="Arial"/>
          <w:color w:val="000000"/>
        </w:rPr>
        <w:t>1.4</w:t>
      </w:r>
      <w:r w:rsidRPr="001249B8">
        <w:rPr>
          <w:rFonts w:ascii="Arial" w:hAnsi="Arial" w:cs="Arial"/>
          <w:color w:val="000000"/>
        </w:rPr>
        <w:tab/>
        <w:t>Assets are taken to include (not exclusively), land, property, equipment and intellectual property.</w:t>
      </w:r>
    </w:p>
    <w:p w:rsidR="00C91DFC" w:rsidRPr="001249B8" w:rsidRDefault="00C91DFC" w:rsidP="001249B8">
      <w:pPr>
        <w:spacing w:line="360" w:lineRule="auto"/>
        <w:jc w:val="both"/>
        <w:rPr>
          <w:rFonts w:ascii="Arial" w:hAnsi="Arial" w:cs="Arial"/>
          <w:color w:val="000000"/>
        </w:rPr>
      </w:pPr>
    </w:p>
    <w:p w:rsidR="00C91DFC" w:rsidRPr="001249B8" w:rsidRDefault="00C91DFC" w:rsidP="001249B8">
      <w:pPr>
        <w:spacing w:line="360" w:lineRule="auto"/>
        <w:jc w:val="both"/>
        <w:rPr>
          <w:rFonts w:ascii="Arial" w:hAnsi="Arial" w:cs="Arial"/>
          <w:b/>
          <w:bCs/>
          <w:color w:val="000000"/>
        </w:rPr>
      </w:pPr>
      <w:r w:rsidRPr="001249B8">
        <w:rPr>
          <w:rFonts w:ascii="Arial" w:hAnsi="Arial" w:cs="Arial"/>
          <w:b/>
          <w:bCs/>
          <w:color w:val="000000"/>
        </w:rPr>
        <w:t>2.</w:t>
      </w:r>
      <w:r w:rsidR="00C57616">
        <w:rPr>
          <w:rFonts w:ascii="Arial" w:hAnsi="Arial" w:cs="Arial"/>
          <w:b/>
          <w:bCs/>
          <w:color w:val="000000"/>
        </w:rPr>
        <w:t>0</w:t>
      </w:r>
      <w:r w:rsidRPr="001249B8">
        <w:rPr>
          <w:rFonts w:ascii="Arial" w:hAnsi="Arial" w:cs="Arial"/>
          <w:b/>
          <w:bCs/>
          <w:color w:val="000000"/>
        </w:rPr>
        <w:tab/>
        <w:t>General Principles</w:t>
      </w:r>
    </w:p>
    <w:p w:rsidR="00C91DFC" w:rsidRPr="001249B8" w:rsidRDefault="00C91DFC" w:rsidP="00916968">
      <w:pPr>
        <w:spacing w:before="240" w:line="360" w:lineRule="auto"/>
        <w:ind w:left="720" w:hanging="720"/>
        <w:jc w:val="both"/>
        <w:rPr>
          <w:rFonts w:ascii="Arial" w:hAnsi="Arial" w:cs="Arial"/>
          <w:color w:val="000000"/>
        </w:rPr>
      </w:pPr>
      <w:r w:rsidRPr="001249B8">
        <w:rPr>
          <w:rFonts w:ascii="Arial" w:hAnsi="Arial" w:cs="Arial"/>
          <w:color w:val="000000"/>
        </w:rPr>
        <w:t>2.1</w:t>
      </w:r>
      <w:r w:rsidRPr="001249B8">
        <w:rPr>
          <w:rFonts w:ascii="Arial" w:hAnsi="Arial" w:cs="Arial"/>
          <w:color w:val="000000"/>
        </w:rPr>
        <w:tab/>
        <w:t>Current policy indicates that funders should agree a period over which they expect to retain an interest in the funded assets on the basis of outcomes rather than purely on the life of the asset. For a funder to retain an interest in an asset for a lengthy period is neither practical nor desirable. However, this must be balanced with the need to ensure that value for money is achieved in the provision of grant and that assets funded are not misused or abused which would include sale or lease for undue profit.</w:t>
      </w:r>
    </w:p>
    <w:p w:rsidR="00C91DFC" w:rsidRPr="001249B8" w:rsidRDefault="00C91DFC" w:rsidP="001249B8">
      <w:pPr>
        <w:spacing w:line="360" w:lineRule="auto"/>
        <w:jc w:val="both"/>
        <w:rPr>
          <w:rFonts w:ascii="Arial" w:hAnsi="Arial" w:cs="Arial"/>
          <w:color w:val="000000"/>
        </w:rPr>
      </w:pPr>
      <w:r w:rsidRPr="001249B8">
        <w:rPr>
          <w:rFonts w:ascii="Arial" w:hAnsi="Arial" w:cs="Arial"/>
          <w:color w:val="000000"/>
        </w:rPr>
        <w:t>2.2</w:t>
      </w:r>
      <w:r w:rsidRPr="001249B8">
        <w:rPr>
          <w:rFonts w:ascii="Arial" w:hAnsi="Arial" w:cs="Arial"/>
          <w:color w:val="000000"/>
        </w:rPr>
        <w:tab/>
        <w:t>There is therefore a need to establish guidance to ensure consistency in:</w:t>
      </w:r>
    </w:p>
    <w:p w:rsidR="00C91DFC" w:rsidRPr="001249B8" w:rsidRDefault="00C91DFC" w:rsidP="001249B8">
      <w:pPr>
        <w:spacing w:line="360" w:lineRule="auto"/>
        <w:jc w:val="both"/>
        <w:rPr>
          <w:rFonts w:ascii="Arial" w:hAnsi="Arial" w:cs="Arial"/>
          <w:color w:val="000000"/>
        </w:rPr>
      </w:pPr>
    </w:p>
    <w:p w:rsidR="00C91DFC" w:rsidRPr="001249B8" w:rsidRDefault="00C91DFC" w:rsidP="001249B8">
      <w:pPr>
        <w:numPr>
          <w:ilvl w:val="0"/>
          <w:numId w:val="2"/>
        </w:numPr>
        <w:spacing w:line="360" w:lineRule="auto"/>
        <w:ind w:left="908" w:hanging="284"/>
        <w:jc w:val="both"/>
        <w:rPr>
          <w:rFonts w:ascii="Arial" w:hAnsi="Arial" w:cs="Arial"/>
          <w:color w:val="000000"/>
        </w:rPr>
      </w:pPr>
      <w:r w:rsidRPr="001249B8">
        <w:rPr>
          <w:rFonts w:ascii="Arial" w:hAnsi="Arial" w:cs="Arial"/>
          <w:color w:val="000000"/>
        </w:rPr>
        <w:t xml:space="preserve">The imposition of conditions of grant; </w:t>
      </w:r>
    </w:p>
    <w:p w:rsidR="00C91DFC" w:rsidRPr="001249B8" w:rsidRDefault="00C91DFC" w:rsidP="001249B8">
      <w:pPr>
        <w:numPr>
          <w:ilvl w:val="0"/>
          <w:numId w:val="2"/>
        </w:numPr>
        <w:spacing w:line="360" w:lineRule="auto"/>
        <w:ind w:left="908" w:hanging="284"/>
        <w:jc w:val="both"/>
        <w:rPr>
          <w:rFonts w:ascii="Arial" w:hAnsi="Arial" w:cs="Arial"/>
          <w:color w:val="000000"/>
        </w:rPr>
      </w:pPr>
      <w:r w:rsidRPr="001249B8">
        <w:rPr>
          <w:rFonts w:ascii="Arial" w:hAnsi="Arial" w:cs="Arial"/>
          <w:color w:val="000000"/>
        </w:rPr>
        <w:t>Level of monitoring and enforcement of conditions;</w:t>
      </w:r>
    </w:p>
    <w:p w:rsidR="00C91DFC" w:rsidRPr="001249B8" w:rsidRDefault="00C91DFC" w:rsidP="001249B8">
      <w:pPr>
        <w:numPr>
          <w:ilvl w:val="0"/>
          <w:numId w:val="2"/>
        </w:numPr>
        <w:spacing w:line="360" w:lineRule="auto"/>
        <w:ind w:left="908" w:hanging="284"/>
        <w:jc w:val="both"/>
        <w:rPr>
          <w:rFonts w:ascii="Arial" w:hAnsi="Arial" w:cs="Arial"/>
          <w:color w:val="000000"/>
        </w:rPr>
      </w:pPr>
      <w:r w:rsidRPr="001249B8">
        <w:rPr>
          <w:rFonts w:ascii="Arial" w:hAnsi="Arial" w:cs="Arial"/>
          <w:color w:val="000000"/>
        </w:rPr>
        <w:t>Clawback periods defined; and</w:t>
      </w:r>
    </w:p>
    <w:p w:rsidR="00C91DFC" w:rsidRPr="001249B8" w:rsidRDefault="00C91DFC" w:rsidP="001249B8">
      <w:pPr>
        <w:numPr>
          <w:ilvl w:val="0"/>
          <w:numId w:val="2"/>
        </w:numPr>
        <w:spacing w:line="360" w:lineRule="auto"/>
        <w:ind w:left="908" w:hanging="284"/>
        <w:jc w:val="both"/>
        <w:rPr>
          <w:rFonts w:ascii="Arial" w:hAnsi="Arial" w:cs="Arial"/>
          <w:color w:val="000000"/>
        </w:rPr>
      </w:pPr>
      <w:r w:rsidRPr="001249B8">
        <w:rPr>
          <w:rFonts w:ascii="Arial" w:hAnsi="Arial" w:cs="Arial"/>
          <w:color w:val="000000"/>
        </w:rPr>
        <w:t>Method of calculation of clawback.</w:t>
      </w:r>
    </w:p>
    <w:p w:rsidR="00C91DFC" w:rsidRPr="001249B8" w:rsidRDefault="00C91DFC" w:rsidP="001249B8">
      <w:pPr>
        <w:spacing w:line="360" w:lineRule="auto"/>
        <w:jc w:val="both"/>
        <w:rPr>
          <w:rFonts w:ascii="Arial" w:hAnsi="Arial" w:cs="Arial"/>
          <w:color w:val="000000"/>
        </w:rPr>
      </w:pPr>
    </w:p>
    <w:p w:rsidR="00C91DFC" w:rsidRPr="00916968" w:rsidRDefault="00C91DFC" w:rsidP="001249B8">
      <w:pPr>
        <w:spacing w:line="360" w:lineRule="auto"/>
        <w:jc w:val="both"/>
        <w:rPr>
          <w:rFonts w:ascii="Arial" w:hAnsi="Arial" w:cs="Arial"/>
          <w:b/>
          <w:bCs/>
          <w:color w:val="000000"/>
        </w:rPr>
      </w:pPr>
      <w:r w:rsidRPr="001249B8">
        <w:rPr>
          <w:rFonts w:ascii="Arial" w:hAnsi="Arial" w:cs="Arial"/>
          <w:b/>
          <w:bCs/>
          <w:color w:val="000000"/>
        </w:rPr>
        <w:t>3.</w:t>
      </w:r>
      <w:r w:rsidR="00C57616">
        <w:rPr>
          <w:rFonts w:ascii="Arial" w:hAnsi="Arial" w:cs="Arial"/>
          <w:b/>
          <w:bCs/>
          <w:color w:val="000000"/>
        </w:rPr>
        <w:t>0</w:t>
      </w:r>
      <w:r w:rsidRPr="001249B8">
        <w:rPr>
          <w:rFonts w:ascii="Arial" w:hAnsi="Arial" w:cs="Arial"/>
          <w:b/>
          <w:bCs/>
          <w:color w:val="000000"/>
        </w:rPr>
        <w:tab/>
        <w:t>Conditions of Grant</w:t>
      </w:r>
    </w:p>
    <w:p w:rsidR="00C91DFC" w:rsidRPr="001249B8" w:rsidRDefault="00C91DFC" w:rsidP="001249B8">
      <w:pPr>
        <w:spacing w:line="360" w:lineRule="auto"/>
        <w:ind w:left="720" w:hanging="720"/>
        <w:jc w:val="both"/>
        <w:rPr>
          <w:rFonts w:ascii="Arial" w:hAnsi="Arial" w:cs="Arial"/>
          <w:color w:val="000000"/>
        </w:rPr>
      </w:pPr>
      <w:r w:rsidRPr="001249B8">
        <w:rPr>
          <w:rFonts w:ascii="Arial" w:hAnsi="Arial" w:cs="Arial"/>
          <w:color w:val="000000"/>
        </w:rPr>
        <w:t>3.1</w:t>
      </w:r>
      <w:r w:rsidRPr="001249B8">
        <w:rPr>
          <w:rFonts w:ascii="Arial" w:hAnsi="Arial" w:cs="Arial"/>
          <w:color w:val="000000"/>
        </w:rPr>
        <w:tab/>
        <w:t xml:space="preserve">As outlined in DAO (DFP) 16/05, </w:t>
      </w:r>
      <w:r w:rsidR="00A75367">
        <w:rPr>
          <w:rFonts w:ascii="Arial" w:hAnsi="Arial" w:cs="Arial"/>
          <w:color w:val="000000"/>
        </w:rPr>
        <w:t>Intermediate Bodies</w:t>
      </w:r>
      <w:r w:rsidRPr="001249B8">
        <w:rPr>
          <w:rFonts w:ascii="Arial" w:hAnsi="Arial" w:cs="Arial"/>
          <w:color w:val="000000"/>
        </w:rPr>
        <w:t xml:space="preserve"> should consider seeking legal advice about any conditions they want to set.  Legal Advisers will need to consider the conditions from the perspective of both </w:t>
      </w:r>
      <w:smartTag w:uri="urn:schemas-microsoft-com:office:smarttags" w:element="country-region">
        <w:smartTag w:uri="urn:schemas-microsoft-com:office:smarttags" w:element="place">
          <w:r w:rsidRPr="001249B8">
            <w:rPr>
              <w:rFonts w:ascii="Arial" w:hAnsi="Arial" w:cs="Arial"/>
              <w:color w:val="000000"/>
            </w:rPr>
            <w:t>UK</w:t>
          </w:r>
        </w:smartTag>
      </w:smartTag>
      <w:r w:rsidRPr="001249B8">
        <w:rPr>
          <w:rFonts w:ascii="Arial" w:hAnsi="Arial" w:cs="Arial"/>
          <w:color w:val="000000"/>
        </w:rPr>
        <w:t xml:space="preserve"> and EU law, including any implication for state aid.  Terms and conditions should be tailored to the circumstances. The conditions should be agreed at the outset, so that both parties have a clear and common understanding about what is expected under the terms of the grant offer. It will often make sense, therefore, to set terms which limit the period over which</w:t>
      </w:r>
      <w:r w:rsidR="00546888">
        <w:rPr>
          <w:rFonts w:ascii="Arial" w:hAnsi="Arial" w:cs="Arial"/>
          <w:color w:val="000000"/>
        </w:rPr>
        <w:t xml:space="preserve"> </w:t>
      </w:r>
      <w:r w:rsidR="00A75367">
        <w:rPr>
          <w:rFonts w:ascii="Arial" w:hAnsi="Arial" w:cs="Arial"/>
          <w:color w:val="000000"/>
        </w:rPr>
        <w:t>Intermediate Bodies</w:t>
      </w:r>
      <w:r w:rsidRPr="001249B8">
        <w:rPr>
          <w:rFonts w:ascii="Arial" w:hAnsi="Arial" w:cs="Arial"/>
          <w:color w:val="000000"/>
        </w:rPr>
        <w:t xml:space="preserve"> can exercise a charge, or which progressively diminishes the extent to which a charge should operate. </w:t>
      </w:r>
      <w:r w:rsidR="00A75367">
        <w:rPr>
          <w:rFonts w:ascii="Arial" w:hAnsi="Arial" w:cs="Arial"/>
          <w:color w:val="000000"/>
        </w:rPr>
        <w:t xml:space="preserve">Intermediate Bodies </w:t>
      </w:r>
      <w:r w:rsidRPr="001249B8">
        <w:rPr>
          <w:rFonts w:ascii="Arial" w:hAnsi="Arial" w:cs="Arial"/>
          <w:color w:val="000000"/>
        </w:rPr>
        <w:t xml:space="preserve">should try to avoid unnecessarily onerous terms and conditions. </w:t>
      </w:r>
    </w:p>
    <w:p w:rsidR="00C91DFC" w:rsidRPr="001249B8" w:rsidRDefault="00C91DFC" w:rsidP="001249B8">
      <w:pPr>
        <w:spacing w:before="240" w:line="360" w:lineRule="auto"/>
        <w:ind w:left="720" w:hanging="720"/>
        <w:jc w:val="both"/>
        <w:rPr>
          <w:rFonts w:ascii="Arial" w:hAnsi="Arial" w:cs="Arial"/>
          <w:color w:val="000000"/>
        </w:rPr>
      </w:pPr>
      <w:r w:rsidRPr="001249B8">
        <w:rPr>
          <w:rFonts w:ascii="Arial" w:hAnsi="Arial" w:cs="Arial"/>
          <w:color w:val="000000"/>
        </w:rPr>
        <w:t>3.2</w:t>
      </w:r>
      <w:r w:rsidRPr="001249B8">
        <w:rPr>
          <w:rFonts w:ascii="Arial" w:hAnsi="Arial" w:cs="Arial"/>
          <w:color w:val="000000"/>
        </w:rPr>
        <w:tab/>
        <w:t>For the purchase or development of land and / or property, it should be possible to take a legal charge over the land/property. Where appropriate, this should be executed in favour of the</w:t>
      </w:r>
      <w:r w:rsidR="00A75367">
        <w:rPr>
          <w:rFonts w:ascii="Arial" w:hAnsi="Arial" w:cs="Arial"/>
          <w:color w:val="000000"/>
        </w:rPr>
        <w:t xml:space="preserve"> Intermediate Body </w:t>
      </w:r>
      <w:r w:rsidRPr="001249B8">
        <w:rPr>
          <w:rFonts w:ascii="Arial" w:hAnsi="Arial" w:cs="Arial"/>
          <w:color w:val="000000"/>
        </w:rPr>
        <w:t xml:space="preserve">as security for any repayment obligations. </w:t>
      </w:r>
    </w:p>
    <w:p w:rsidR="00C91DFC" w:rsidRPr="001249B8" w:rsidRDefault="00C91DFC" w:rsidP="00916968">
      <w:pPr>
        <w:spacing w:before="240" w:line="360" w:lineRule="auto"/>
        <w:ind w:left="720" w:hanging="720"/>
        <w:jc w:val="both"/>
        <w:rPr>
          <w:rFonts w:ascii="Arial" w:hAnsi="Arial" w:cs="Arial"/>
          <w:color w:val="000000"/>
        </w:rPr>
      </w:pPr>
      <w:r w:rsidRPr="001249B8">
        <w:rPr>
          <w:rFonts w:ascii="Arial" w:hAnsi="Arial" w:cs="Arial"/>
          <w:color w:val="000000"/>
        </w:rPr>
        <w:t>3.3</w:t>
      </w:r>
      <w:r w:rsidRPr="001249B8">
        <w:rPr>
          <w:rFonts w:ascii="Arial" w:hAnsi="Arial" w:cs="Arial"/>
          <w:color w:val="000000"/>
        </w:rPr>
        <w:tab/>
        <w:t xml:space="preserve">Any charge / security must also cover the scenario where a </w:t>
      </w:r>
      <w:r w:rsidR="000B4124">
        <w:rPr>
          <w:rFonts w:ascii="Arial" w:hAnsi="Arial" w:cs="Arial"/>
          <w:color w:val="000000"/>
        </w:rPr>
        <w:t xml:space="preserve">company, as </w:t>
      </w:r>
      <w:r w:rsidR="00F76C48">
        <w:rPr>
          <w:rFonts w:ascii="Arial" w:hAnsi="Arial" w:cs="Arial"/>
          <w:color w:val="000000"/>
        </w:rPr>
        <w:t>beneficiary</w:t>
      </w:r>
      <w:r w:rsidRPr="001249B8">
        <w:rPr>
          <w:rFonts w:ascii="Arial" w:hAnsi="Arial" w:cs="Arial"/>
          <w:color w:val="000000"/>
        </w:rPr>
        <w:t>, is, wound-up or goes into liquidation, so that there is priority over unsecured creditors.</w:t>
      </w:r>
    </w:p>
    <w:p w:rsidR="00C91DFC" w:rsidRPr="00916968" w:rsidRDefault="00C91DFC" w:rsidP="00916968">
      <w:pPr>
        <w:spacing w:line="360" w:lineRule="auto"/>
        <w:ind w:left="720" w:hanging="720"/>
        <w:jc w:val="both"/>
        <w:rPr>
          <w:rFonts w:ascii="Arial" w:hAnsi="Arial" w:cs="Arial"/>
          <w:strike/>
          <w:color w:val="000000"/>
        </w:rPr>
      </w:pPr>
      <w:r w:rsidRPr="001249B8">
        <w:rPr>
          <w:rFonts w:ascii="Arial" w:hAnsi="Arial" w:cs="Arial"/>
          <w:color w:val="000000"/>
        </w:rPr>
        <w:lastRenderedPageBreak/>
        <w:t>3.4</w:t>
      </w:r>
      <w:r w:rsidRPr="001249B8">
        <w:rPr>
          <w:rFonts w:ascii="Arial" w:hAnsi="Arial" w:cs="Arial"/>
          <w:color w:val="000000"/>
        </w:rPr>
        <w:tab/>
        <w:t xml:space="preserve">The most common way of safeguarding financial interests is to set a condition on the grant that gives the </w:t>
      </w:r>
      <w:r w:rsidR="00733F86">
        <w:rPr>
          <w:rFonts w:ascii="Arial" w:hAnsi="Arial" w:cs="Arial"/>
          <w:color w:val="000000"/>
        </w:rPr>
        <w:t xml:space="preserve">Intermediate Body </w:t>
      </w:r>
      <w:r w:rsidRPr="001249B8">
        <w:rPr>
          <w:rFonts w:ascii="Arial" w:hAnsi="Arial" w:cs="Arial"/>
          <w:color w:val="000000"/>
        </w:rPr>
        <w:t xml:space="preserve">a charge over the asset, i.e. the right to be consulted about the asset being sold or put to an alternative use. On occasions, such a condition could be expressed as the </w:t>
      </w:r>
      <w:r w:rsidR="00733F86">
        <w:rPr>
          <w:rFonts w:ascii="Arial" w:hAnsi="Arial" w:cs="Arial"/>
          <w:color w:val="000000"/>
        </w:rPr>
        <w:t xml:space="preserve">beneficiary </w:t>
      </w:r>
      <w:r w:rsidRPr="001249B8">
        <w:rPr>
          <w:rFonts w:ascii="Arial" w:hAnsi="Arial" w:cs="Arial"/>
          <w:color w:val="000000"/>
        </w:rPr>
        <w:t>agreeing to refund the grant or, more usually to return the proceeds from the sale of the asset to the</w:t>
      </w:r>
      <w:r w:rsidR="00733F86">
        <w:rPr>
          <w:rFonts w:ascii="Arial" w:hAnsi="Arial" w:cs="Arial"/>
          <w:color w:val="000000"/>
        </w:rPr>
        <w:t xml:space="preserve"> Intermediate Body</w:t>
      </w:r>
      <w:r w:rsidRPr="001249B8">
        <w:rPr>
          <w:rFonts w:ascii="Arial" w:hAnsi="Arial" w:cs="Arial"/>
          <w:color w:val="000000"/>
        </w:rPr>
        <w:t xml:space="preserve">, (i.e. for the </w:t>
      </w:r>
      <w:r w:rsidR="00733F86">
        <w:rPr>
          <w:rFonts w:ascii="Arial" w:hAnsi="Arial" w:cs="Arial"/>
          <w:color w:val="000000"/>
        </w:rPr>
        <w:t xml:space="preserve">Intermediate Body </w:t>
      </w:r>
      <w:r w:rsidRPr="001249B8">
        <w:rPr>
          <w:rFonts w:ascii="Arial" w:hAnsi="Arial" w:cs="Arial"/>
          <w:color w:val="000000"/>
        </w:rPr>
        <w:t xml:space="preserve">to </w:t>
      </w:r>
      <w:r w:rsidRPr="001249B8">
        <w:rPr>
          <w:rFonts w:ascii="Arial" w:hAnsi="Arial" w:cs="Arial"/>
          <w:i/>
          <w:iCs/>
          <w:color w:val="000000"/>
        </w:rPr>
        <w:t xml:space="preserve">clawback </w:t>
      </w:r>
      <w:r w:rsidRPr="001249B8">
        <w:rPr>
          <w:rFonts w:ascii="Arial" w:hAnsi="Arial" w:cs="Arial"/>
          <w:color w:val="000000"/>
        </w:rPr>
        <w:t xml:space="preserve">the proceeds). </w:t>
      </w:r>
    </w:p>
    <w:p w:rsidR="00C91DFC" w:rsidRPr="00916968" w:rsidRDefault="00C91DFC" w:rsidP="00916968">
      <w:pPr>
        <w:spacing w:after="120" w:line="360" w:lineRule="auto"/>
        <w:ind w:left="720" w:hanging="720"/>
        <w:jc w:val="both"/>
        <w:rPr>
          <w:rFonts w:ascii="Arial" w:hAnsi="Arial" w:cs="Arial"/>
        </w:rPr>
      </w:pPr>
      <w:r w:rsidRPr="001249B8">
        <w:rPr>
          <w:rFonts w:ascii="Arial" w:hAnsi="Arial" w:cs="Arial"/>
        </w:rPr>
        <w:t>3.5</w:t>
      </w:r>
      <w:r w:rsidRPr="001249B8">
        <w:rPr>
          <w:rFonts w:ascii="Arial" w:hAnsi="Arial" w:cs="Arial"/>
        </w:rPr>
        <w:tab/>
        <w:t xml:space="preserve">There is no single correct model for clawback. The terms of grants need to suit the circumstances of the case, allowing as much flexibility as seems sensible, particularly where funding can enhance recipients’ capacity to develop and provide services over the longer term or to become independent of public funding. Over-rigorous terms may militate against this and therefore not achieve overall value for money. This is particularly so in the case of funding assets acquired by Third Sector bodies. </w:t>
      </w:r>
    </w:p>
    <w:p w:rsidR="00C91DFC" w:rsidRPr="001249B8" w:rsidRDefault="00C91DFC" w:rsidP="00916968">
      <w:pPr>
        <w:spacing w:after="120" w:line="360" w:lineRule="auto"/>
        <w:ind w:left="720" w:hanging="720"/>
        <w:jc w:val="both"/>
        <w:rPr>
          <w:rFonts w:ascii="Arial" w:hAnsi="Arial" w:cs="Arial"/>
        </w:rPr>
      </w:pPr>
      <w:r w:rsidRPr="001249B8">
        <w:rPr>
          <w:rFonts w:ascii="Arial" w:hAnsi="Arial" w:cs="Arial"/>
        </w:rPr>
        <w:t>3.6</w:t>
      </w:r>
      <w:r w:rsidRPr="001249B8">
        <w:rPr>
          <w:rFonts w:ascii="Arial" w:hAnsi="Arial" w:cs="Arial"/>
        </w:rPr>
        <w:tab/>
        <w:t>In setting these terms,</w:t>
      </w:r>
      <w:r w:rsidR="00733F86">
        <w:rPr>
          <w:rFonts w:ascii="Arial" w:hAnsi="Arial" w:cs="Arial"/>
        </w:rPr>
        <w:t xml:space="preserve"> Intermediate Bodies</w:t>
      </w:r>
      <w:r w:rsidRPr="001249B8">
        <w:rPr>
          <w:rFonts w:ascii="Arial" w:hAnsi="Arial" w:cs="Arial"/>
        </w:rPr>
        <w:t xml:space="preserve"> need to consider the different circumstances in which assets may be disposed of, and the purpose of the support underlying the original grant. The terms of clawback should therefore reflect the extent of funding, the nature and expected life of the asset being developed, and how to assess when the agreed objectives for the funding have been delivered. </w:t>
      </w:r>
    </w:p>
    <w:p w:rsidR="00C91DFC" w:rsidRPr="001249B8" w:rsidRDefault="00C91DFC" w:rsidP="001249B8">
      <w:pPr>
        <w:spacing w:after="120" w:line="360" w:lineRule="auto"/>
        <w:ind w:left="720" w:hanging="720"/>
        <w:jc w:val="both"/>
        <w:rPr>
          <w:rFonts w:ascii="Arial" w:hAnsi="Arial" w:cs="Arial"/>
        </w:rPr>
      </w:pPr>
      <w:r w:rsidRPr="001249B8">
        <w:rPr>
          <w:rFonts w:ascii="Arial" w:hAnsi="Arial" w:cs="Arial"/>
        </w:rPr>
        <w:t>3.7</w:t>
      </w:r>
      <w:r w:rsidRPr="001249B8">
        <w:rPr>
          <w:rFonts w:ascii="Arial" w:hAnsi="Arial" w:cs="Arial"/>
        </w:rPr>
        <w:tab/>
        <w:t xml:space="preserve">The objectives should be agreed at the outset as part of the process of assessing the application for grant. For example, a </w:t>
      </w:r>
      <w:r w:rsidR="00733F86">
        <w:rPr>
          <w:rFonts w:ascii="Arial" w:hAnsi="Arial" w:cs="Arial"/>
        </w:rPr>
        <w:t xml:space="preserve">beneficiary </w:t>
      </w:r>
      <w:r w:rsidRPr="001249B8">
        <w:rPr>
          <w:rFonts w:ascii="Arial" w:hAnsi="Arial" w:cs="Arial"/>
        </w:rPr>
        <w:t xml:space="preserve">may agree to ensure that the asset delivers community benefits for a certain period: once the benefits have been delivered and the agreed period has expired, it would make sense for the </w:t>
      </w:r>
      <w:r w:rsidR="00C25637">
        <w:rPr>
          <w:rFonts w:ascii="Arial" w:hAnsi="Arial" w:cs="Arial"/>
        </w:rPr>
        <w:t xml:space="preserve">Intermediate Body’s </w:t>
      </w:r>
      <w:r w:rsidRPr="001249B8">
        <w:rPr>
          <w:rFonts w:ascii="Arial" w:hAnsi="Arial" w:cs="Arial"/>
        </w:rPr>
        <w:t>charge, and hence right to clawback, to expire, even though the asset remains in use and has a value.</w:t>
      </w:r>
    </w:p>
    <w:p w:rsidR="00C57616" w:rsidRPr="001249B8" w:rsidRDefault="00C57616" w:rsidP="001249B8">
      <w:pPr>
        <w:spacing w:line="360" w:lineRule="auto"/>
        <w:jc w:val="both"/>
        <w:rPr>
          <w:rFonts w:ascii="Arial" w:hAnsi="Arial" w:cs="Arial"/>
          <w:b/>
          <w:bCs/>
          <w:color w:val="000000"/>
        </w:rPr>
      </w:pPr>
    </w:p>
    <w:p w:rsidR="00C91DFC" w:rsidRPr="00916968" w:rsidRDefault="00C91DFC" w:rsidP="001249B8">
      <w:pPr>
        <w:spacing w:line="360" w:lineRule="auto"/>
        <w:jc w:val="both"/>
        <w:rPr>
          <w:rFonts w:ascii="Arial" w:hAnsi="Arial" w:cs="Arial"/>
          <w:b/>
          <w:bCs/>
          <w:color w:val="000000"/>
        </w:rPr>
      </w:pPr>
      <w:r w:rsidRPr="001249B8">
        <w:rPr>
          <w:rFonts w:ascii="Arial" w:hAnsi="Arial" w:cs="Arial"/>
          <w:b/>
          <w:bCs/>
          <w:color w:val="000000"/>
        </w:rPr>
        <w:t>4.</w:t>
      </w:r>
      <w:r w:rsidR="00C57616">
        <w:rPr>
          <w:rFonts w:ascii="Arial" w:hAnsi="Arial" w:cs="Arial"/>
          <w:b/>
          <w:bCs/>
          <w:color w:val="000000"/>
        </w:rPr>
        <w:t>0</w:t>
      </w:r>
      <w:r w:rsidRPr="001249B8">
        <w:rPr>
          <w:rFonts w:ascii="Arial" w:hAnsi="Arial" w:cs="Arial"/>
          <w:b/>
          <w:bCs/>
          <w:color w:val="000000"/>
        </w:rPr>
        <w:tab/>
        <w:t>Enforcement and Level of Monitoring</w:t>
      </w:r>
    </w:p>
    <w:p w:rsidR="00493F2D" w:rsidRDefault="00C91DFC" w:rsidP="008101E1">
      <w:pPr>
        <w:spacing w:after="120" w:line="360" w:lineRule="auto"/>
        <w:ind w:left="720" w:hanging="720"/>
        <w:jc w:val="both"/>
        <w:rPr>
          <w:rFonts w:ascii="Arial" w:hAnsi="Arial" w:cs="Arial"/>
        </w:rPr>
      </w:pPr>
      <w:r w:rsidRPr="001249B8">
        <w:rPr>
          <w:rFonts w:ascii="Arial" w:hAnsi="Arial" w:cs="Arial"/>
        </w:rPr>
        <w:t>4.1</w:t>
      </w:r>
      <w:r w:rsidRPr="001249B8">
        <w:rPr>
          <w:rFonts w:ascii="Arial" w:hAnsi="Arial" w:cs="Arial"/>
        </w:rPr>
        <w:tab/>
        <w:t xml:space="preserve">In setting terms and conditions for grants, </w:t>
      </w:r>
      <w:r w:rsidR="00C25637">
        <w:rPr>
          <w:rFonts w:ascii="Arial" w:hAnsi="Arial" w:cs="Arial"/>
        </w:rPr>
        <w:t xml:space="preserve">Intermediate Bodies </w:t>
      </w:r>
      <w:r w:rsidRPr="001249B8">
        <w:rPr>
          <w:rFonts w:ascii="Arial" w:hAnsi="Arial" w:cs="Arial"/>
        </w:rPr>
        <w:t xml:space="preserve">should consider the feasibility of enforcement, with due regard to the legal powers available. </w:t>
      </w:r>
      <w:r w:rsidR="00C25637">
        <w:rPr>
          <w:rFonts w:ascii="Arial" w:hAnsi="Arial" w:cs="Arial"/>
        </w:rPr>
        <w:t xml:space="preserve">Intermediate Bodies </w:t>
      </w:r>
      <w:r w:rsidRPr="001249B8">
        <w:rPr>
          <w:rFonts w:ascii="Arial" w:hAnsi="Arial" w:cs="Arial"/>
        </w:rPr>
        <w:t xml:space="preserve">should also consider whether conditions should be imposed to cover the position if </w:t>
      </w:r>
      <w:r w:rsidR="00516335">
        <w:rPr>
          <w:rFonts w:ascii="Arial" w:hAnsi="Arial" w:cs="Arial"/>
        </w:rPr>
        <w:t xml:space="preserve">a company, as </w:t>
      </w:r>
      <w:r w:rsidR="00C25637">
        <w:rPr>
          <w:rFonts w:ascii="Arial" w:hAnsi="Arial" w:cs="Arial"/>
        </w:rPr>
        <w:t>beneficiary</w:t>
      </w:r>
      <w:r w:rsidR="008C42C2">
        <w:rPr>
          <w:rFonts w:ascii="Arial" w:hAnsi="Arial" w:cs="Arial"/>
        </w:rPr>
        <w:t>,</w:t>
      </w:r>
      <w:r w:rsidRPr="001249B8">
        <w:rPr>
          <w:rFonts w:ascii="Arial" w:hAnsi="Arial" w:cs="Arial"/>
        </w:rPr>
        <w:t xml:space="preserve"> was wound-up or went into liquidation, so that the funder would have priority over unsecured creditors. These scenarios should be covered in the terms and conditions of Offer.</w:t>
      </w:r>
    </w:p>
    <w:p w:rsidR="00770D0E" w:rsidRDefault="00493F2D" w:rsidP="00916968">
      <w:pPr>
        <w:spacing w:after="120" w:line="360" w:lineRule="auto"/>
        <w:ind w:left="720" w:hanging="720"/>
        <w:jc w:val="both"/>
        <w:rPr>
          <w:rFonts w:ascii="Arial" w:hAnsi="Arial" w:cs="Arial"/>
        </w:rPr>
      </w:pPr>
      <w:r w:rsidRPr="00326127">
        <w:rPr>
          <w:rFonts w:ascii="Arial" w:hAnsi="Arial" w:cs="Arial"/>
        </w:rPr>
        <w:t>4.2</w:t>
      </w:r>
      <w:r w:rsidRPr="00326127">
        <w:rPr>
          <w:rFonts w:ascii="Arial" w:hAnsi="Arial" w:cs="Arial"/>
        </w:rPr>
        <w:tab/>
      </w:r>
      <w:r w:rsidR="00C91DFC" w:rsidRPr="00326127">
        <w:rPr>
          <w:rFonts w:ascii="Arial" w:hAnsi="Arial" w:cs="Arial"/>
        </w:rPr>
        <w:t xml:space="preserve">The </w:t>
      </w:r>
      <w:r w:rsidR="008E6B0E" w:rsidRPr="00326127">
        <w:rPr>
          <w:rFonts w:ascii="Arial" w:hAnsi="Arial" w:cs="Arial"/>
        </w:rPr>
        <w:t xml:space="preserve">Intermediate Body </w:t>
      </w:r>
      <w:r w:rsidR="00C91DFC" w:rsidRPr="00326127">
        <w:rPr>
          <w:rFonts w:ascii="Arial" w:hAnsi="Arial" w:cs="Arial"/>
        </w:rPr>
        <w:t>should keep track of a</w:t>
      </w:r>
      <w:r w:rsidR="00E25BB7" w:rsidRPr="00326127">
        <w:rPr>
          <w:rFonts w:ascii="Arial" w:hAnsi="Arial" w:cs="Arial"/>
        </w:rPr>
        <w:t>ll funded operation’s assets an</w:t>
      </w:r>
      <w:r w:rsidR="00770D0E">
        <w:rPr>
          <w:rFonts w:ascii="Arial" w:hAnsi="Arial" w:cs="Arial"/>
        </w:rPr>
        <w:t>d</w:t>
      </w:r>
      <w:r w:rsidR="00E25BB7" w:rsidRPr="00326127">
        <w:rPr>
          <w:rFonts w:ascii="Arial" w:hAnsi="Arial" w:cs="Arial"/>
        </w:rPr>
        <w:t xml:space="preserve"> </w:t>
      </w:r>
      <w:r w:rsidR="00C91DFC" w:rsidRPr="00326127">
        <w:rPr>
          <w:rFonts w:ascii="Arial" w:hAnsi="Arial" w:cs="Arial"/>
        </w:rPr>
        <w:t>undertake periodic reviews to confirm compliance with any conditions set</w:t>
      </w:r>
      <w:r w:rsidR="009039B5" w:rsidRPr="00326127">
        <w:rPr>
          <w:rFonts w:ascii="Arial" w:hAnsi="Arial" w:cs="Arial"/>
        </w:rPr>
        <w:t xml:space="preserve">, both during the lifetime of the project and after closure. </w:t>
      </w:r>
      <w:r w:rsidR="00C91DFC" w:rsidRPr="00326127">
        <w:rPr>
          <w:rFonts w:ascii="Arial" w:hAnsi="Arial" w:cs="Arial"/>
        </w:rPr>
        <w:t xml:space="preserve">Monitoring of compliance should be incorporated into the </w:t>
      </w:r>
      <w:r w:rsidR="008E6B0E" w:rsidRPr="00326127">
        <w:rPr>
          <w:rFonts w:ascii="Arial" w:hAnsi="Arial" w:cs="Arial"/>
        </w:rPr>
        <w:t>Intermediate Bodies</w:t>
      </w:r>
      <w:r w:rsidR="00C91DFC" w:rsidRPr="00326127">
        <w:rPr>
          <w:rFonts w:ascii="Arial" w:hAnsi="Arial" w:cs="Arial"/>
        </w:rPr>
        <w:t xml:space="preserve"> normal management oversight, audit and review processes</w:t>
      </w:r>
      <w:r w:rsidR="009039B5" w:rsidRPr="00326127">
        <w:rPr>
          <w:rFonts w:ascii="Arial" w:hAnsi="Arial" w:cs="Arial"/>
        </w:rPr>
        <w:t xml:space="preserve">. </w:t>
      </w:r>
    </w:p>
    <w:p w:rsidR="00C91DFC" w:rsidRPr="00326127" w:rsidRDefault="00C91DFC" w:rsidP="001249B8">
      <w:pPr>
        <w:spacing w:after="120" w:line="360" w:lineRule="auto"/>
        <w:ind w:left="720" w:hanging="720"/>
        <w:jc w:val="both"/>
        <w:rPr>
          <w:rFonts w:ascii="Arial" w:hAnsi="Arial" w:cs="Arial"/>
        </w:rPr>
      </w:pPr>
      <w:r w:rsidRPr="00326127">
        <w:rPr>
          <w:rFonts w:ascii="Arial" w:hAnsi="Arial" w:cs="Arial"/>
        </w:rPr>
        <w:t>4.3</w:t>
      </w:r>
      <w:r w:rsidRPr="00326127">
        <w:rPr>
          <w:rFonts w:ascii="Arial" w:hAnsi="Arial" w:cs="Arial"/>
        </w:rPr>
        <w:tab/>
        <w:t xml:space="preserve">The </w:t>
      </w:r>
      <w:r w:rsidR="008E6B0E" w:rsidRPr="00326127">
        <w:rPr>
          <w:rFonts w:ascii="Arial" w:hAnsi="Arial" w:cs="Arial"/>
        </w:rPr>
        <w:t xml:space="preserve">Intermediate Body </w:t>
      </w:r>
      <w:r w:rsidRPr="00326127">
        <w:rPr>
          <w:rFonts w:ascii="Arial" w:hAnsi="Arial" w:cs="Arial"/>
        </w:rPr>
        <w:t xml:space="preserve">should maintain a clear audit trail where clawback is invoked.    </w:t>
      </w:r>
    </w:p>
    <w:p w:rsidR="008A3A71" w:rsidRPr="001249B8" w:rsidRDefault="008A3A71" w:rsidP="001249B8">
      <w:pPr>
        <w:spacing w:after="120" w:line="360" w:lineRule="auto"/>
        <w:jc w:val="both"/>
        <w:rPr>
          <w:rFonts w:ascii="Arial" w:hAnsi="Arial" w:cs="Arial"/>
        </w:rPr>
      </w:pPr>
    </w:p>
    <w:p w:rsidR="00C91DFC" w:rsidRPr="001249B8" w:rsidRDefault="00916968" w:rsidP="001249B8">
      <w:pPr>
        <w:spacing w:after="120" w:line="360" w:lineRule="auto"/>
        <w:jc w:val="both"/>
        <w:rPr>
          <w:rFonts w:ascii="Arial" w:hAnsi="Arial" w:cs="Arial"/>
          <w:b/>
          <w:bCs/>
        </w:rPr>
      </w:pPr>
      <w:r>
        <w:rPr>
          <w:rFonts w:ascii="Arial" w:hAnsi="Arial" w:cs="Arial"/>
          <w:b/>
          <w:bCs/>
        </w:rPr>
        <w:br w:type="page"/>
      </w:r>
      <w:r w:rsidR="00C91DFC" w:rsidRPr="001249B8">
        <w:rPr>
          <w:rFonts w:ascii="Arial" w:hAnsi="Arial" w:cs="Arial"/>
          <w:b/>
          <w:bCs/>
        </w:rPr>
        <w:lastRenderedPageBreak/>
        <w:t>5.</w:t>
      </w:r>
      <w:r w:rsidR="00C57616">
        <w:rPr>
          <w:rFonts w:ascii="Arial" w:hAnsi="Arial" w:cs="Arial"/>
          <w:b/>
          <w:bCs/>
        </w:rPr>
        <w:t>0</w:t>
      </w:r>
      <w:r w:rsidR="00C91DFC" w:rsidRPr="001249B8">
        <w:rPr>
          <w:rFonts w:ascii="Arial" w:hAnsi="Arial" w:cs="Arial"/>
          <w:b/>
          <w:bCs/>
        </w:rPr>
        <w:tab/>
        <w:t>Valuation of the Charge</w:t>
      </w:r>
    </w:p>
    <w:p w:rsidR="00C91DFC" w:rsidRDefault="00C91DFC" w:rsidP="001249B8">
      <w:pPr>
        <w:spacing w:line="360" w:lineRule="auto"/>
        <w:ind w:left="720" w:hanging="720"/>
        <w:jc w:val="both"/>
        <w:rPr>
          <w:rFonts w:ascii="Arial" w:hAnsi="Arial" w:cs="Arial"/>
        </w:rPr>
      </w:pPr>
      <w:r w:rsidRPr="001249B8">
        <w:rPr>
          <w:rFonts w:ascii="Arial" w:hAnsi="Arial" w:cs="Arial"/>
        </w:rPr>
        <w:t>5.1</w:t>
      </w:r>
      <w:r w:rsidRPr="001249B8">
        <w:rPr>
          <w:rFonts w:ascii="Arial" w:hAnsi="Arial" w:cs="Arial"/>
        </w:rPr>
        <w:tab/>
        <w:t xml:space="preserve">In some cases, the grant may have been paid to improve the asset rather than to acquire it. In such cases, </w:t>
      </w:r>
      <w:r w:rsidR="00CE1857">
        <w:rPr>
          <w:rFonts w:ascii="Arial" w:hAnsi="Arial" w:cs="Arial"/>
        </w:rPr>
        <w:t xml:space="preserve">Intermediate Bodies </w:t>
      </w:r>
      <w:r w:rsidRPr="001249B8">
        <w:rPr>
          <w:rFonts w:ascii="Arial" w:hAnsi="Arial" w:cs="Arial"/>
        </w:rPr>
        <w:t>should consider whether it would be prudent for the asset to be valued before and after the improvements have been made to provide a basis for calculating any repayments to the funder.</w:t>
      </w:r>
    </w:p>
    <w:p w:rsidR="00EC03AF" w:rsidRDefault="00EC03AF" w:rsidP="001249B8">
      <w:pPr>
        <w:spacing w:line="360" w:lineRule="auto"/>
        <w:ind w:left="720" w:hanging="720"/>
        <w:jc w:val="both"/>
        <w:rPr>
          <w:rFonts w:ascii="Arial" w:hAnsi="Arial" w:cs="Arial"/>
        </w:rPr>
      </w:pPr>
    </w:p>
    <w:p w:rsidR="00C91DFC" w:rsidRPr="001249B8" w:rsidRDefault="00C91DFC" w:rsidP="001249B8">
      <w:pPr>
        <w:spacing w:line="360" w:lineRule="auto"/>
        <w:jc w:val="both"/>
        <w:rPr>
          <w:rFonts w:ascii="Arial" w:hAnsi="Arial" w:cs="Arial"/>
          <w:b/>
          <w:bCs/>
          <w:color w:val="000000"/>
        </w:rPr>
      </w:pPr>
      <w:r w:rsidRPr="001249B8">
        <w:rPr>
          <w:rFonts w:ascii="Arial" w:hAnsi="Arial" w:cs="Arial"/>
          <w:b/>
          <w:bCs/>
          <w:color w:val="000000"/>
        </w:rPr>
        <w:t>6.</w:t>
      </w:r>
      <w:r w:rsidR="00C57616">
        <w:rPr>
          <w:rFonts w:ascii="Arial" w:hAnsi="Arial" w:cs="Arial"/>
          <w:b/>
          <w:bCs/>
          <w:color w:val="000000"/>
        </w:rPr>
        <w:t>0</w:t>
      </w:r>
      <w:r w:rsidRPr="001249B8">
        <w:rPr>
          <w:rFonts w:ascii="Arial" w:hAnsi="Arial" w:cs="Arial"/>
          <w:b/>
          <w:bCs/>
          <w:color w:val="000000"/>
        </w:rPr>
        <w:tab/>
      </w:r>
      <w:proofErr w:type="spellStart"/>
      <w:r w:rsidRPr="001249B8">
        <w:rPr>
          <w:rFonts w:ascii="Arial" w:hAnsi="Arial" w:cs="Arial"/>
          <w:b/>
          <w:bCs/>
          <w:color w:val="000000"/>
        </w:rPr>
        <w:t>Clawback</w:t>
      </w:r>
      <w:proofErr w:type="spellEnd"/>
      <w:r w:rsidRPr="001249B8">
        <w:rPr>
          <w:rFonts w:ascii="Arial" w:hAnsi="Arial" w:cs="Arial"/>
          <w:b/>
          <w:bCs/>
          <w:color w:val="000000"/>
        </w:rPr>
        <w:t xml:space="preserve"> period</w:t>
      </w:r>
    </w:p>
    <w:p w:rsidR="00C91DFC" w:rsidRPr="00326127" w:rsidRDefault="00C91DFC" w:rsidP="00916968">
      <w:pPr>
        <w:spacing w:line="360" w:lineRule="auto"/>
        <w:ind w:left="720" w:hanging="720"/>
        <w:jc w:val="both"/>
        <w:rPr>
          <w:rFonts w:ascii="Arial" w:hAnsi="Arial" w:cs="Arial"/>
        </w:rPr>
      </w:pPr>
      <w:r w:rsidRPr="00326127">
        <w:rPr>
          <w:rFonts w:ascii="Arial" w:hAnsi="Arial" w:cs="Arial"/>
        </w:rPr>
        <w:t>6.1</w:t>
      </w:r>
      <w:r w:rsidRPr="00326127">
        <w:rPr>
          <w:rFonts w:ascii="Arial" w:hAnsi="Arial" w:cs="Arial"/>
        </w:rPr>
        <w:tab/>
        <w:t xml:space="preserve">In addition to the detailed guidance on the options for clawback, which are set out in MPMNI and DAO (DFP) 16/05, Article 57 sets clawback requirements for EU funding arrangements.  These are set out below. </w:t>
      </w:r>
    </w:p>
    <w:p w:rsidR="00C91DFC" w:rsidRDefault="00C91DFC" w:rsidP="00916968">
      <w:pPr>
        <w:spacing w:line="360" w:lineRule="auto"/>
        <w:ind w:left="720" w:hanging="720"/>
        <w:jc w:val="both"/>
        <w:rPr>
          <w:rFonts w:ascii="Arial" w:hAnsi="Arial" w:cs="Arial"/>
        </w:rPr>
      </w:pPr>
      <w:r w:rsidRPr="00326127">
        <w:rPr>
          <w:rFonts w:ascii="Arial" w:hAnsi="Arial" w:cs="Arial"/>
        </w:rPr>
        <w:t>6.2</w:t>
      </w:r>
      <w:r w:rsidRPr="00326127">
        <w:rPr>
          <w:rFonts w:ascii="Arial" w:hAnsi="Arial" w:cs="Arial"/>
        </w:rPr>
        <w:tab/>
        <w:t xml:space="preserve">A </w:t>
      </w:r>
      <w:r w:rsidR="00CE1857" w:rsidRPr="00326127">
        <w:rPr>
          <w:rFonts w:ascii="Arial" w:hAnsi="Arial" w:cs="Arial"/>
        </w:rPr>
        <w:t xml:space="preserve">beneficiary </w:t>
      </w:r>
      <w:r w:rsidRPr="00326127">
        <w:rPr>
          <w:rFonts w:ascii="Arial" w:hAnsi="Arial" w:cs="Arial"/>
        </w:rPr>
        <w:t>may only retain an EU funding contribution, if it does not within five years of the end of the operation (project), make a significant change to the initial grant conditions agreed.  Substantial changes, such as the change of ownership, the cessation of an activity or a change to the implementation arrangements will result in the need for the clawback of</w:t>
      </w:r>
      <w:r w:rsidR="00B1081C" w:rsidRPr="00326127">
        <w:rPr>
          <w:rFonts w:ascii="Arial" w:hAnsi="Arial" w:cs="Arial"/>
        </w:rPr>
        <w:t xml:space="preserve"> EU funds from the beneficiary.</w:t>
      </w:r>
      <w:r w:rsidR="00372FA8" w:rsidRPr="00326127">
        <w:rPr>
          <w:rFonts w:ascii="Arial" w:hAnsi="Arial" w:cs="Arial"/>
        </w:rPr>
        <w:t xml:space="preserve"> </w:t>
      </w:r>
      <w:r w:rsidR="00B1081C" w:rsidRPr="00326127">
        <w:rPr>
          <w:rFonts w:ascii="Arial" w:hAnsi="Arial" w:cs="Arial"/>
        </w:rPr>
        <w:t xml:space="preserve">A </w:t>
      </w:r>
      <w:r w:rsidR="00372FA8" w:rsidRPr="00326127">
        <w:rPr>
          <w:rFonts w:ascii="Arial" w:hAnsi="Arial" w:cs="Arial"/>
        </w:rPr>
        <w:t xml:space="preserve">Members State can reduce the </w:t>
      </w:r>
      <w:r w:rsidR="00B1081C" w:rsidRPr="00326127">
        <w:rPr>
          <w:rFonts w:ascii="Arial" w:hAnsi="Arial" w:cs="Arial"/>
        </w:rPr>
        <w:t>clawback time limit of</w:t>
      </w:r>
      <w:r w:rsidR="00372FA8" w:rsidRPr="00326127">
        <w:rPr>
          <w:rFonts w:ascii="Arial" w:hAnsi="Arial" w:cs="Arial"/>
        </w:rPr>
        <w:t xml:space="preserve"> some operations from five to three years</w:t>
      </w:r>
      <w:r w:rsidR="00B1081C" w:rsidRPr="00326127">
        <w:rPr>
          <w:rFonts w:ascii="Arial" w:hAnsi="Arial" w:cs="Arial"/>
        </w:rPr>
        <w:t xml:space="preserve">, and it has been decided that this relaxation can be applied to expenditure under £5k (see Annex for details). </w:t>
      </w:r>
    </w:p>
    <w:p w:rsidR="0098196E" w:rsidRPr="00916968" w:rsidRDefault="00CD61F1" w:rsidP="00916968">
      <w:pPr>
        <w:autoSpaceDE w:val="0"/>
        <w:autoSpaceDN w:val="0"/>
        <w:adjustRightInd w:val="0"/>
        <w:spacing w:line="360" w:lineRule="auto"/>
        <w:ind w:left="720" w:hanging="720"/>
        <w:rPr>
          <w:rFonts w:ascii="Arial" w:hAnsi="Arial" w:cs="Arial"/>
        </w:rPr>
      </w:pPr>
      <w:r w:rsidRPr="00326127">
        <w:rPr>
          <w:rFonts w:ascii="Arial" w:hAnsi="Arial" w:cs="Arial"/>
        </w:rPr>
        <w:t>6.3</w:t>
      </w:r>
      <w:r w:rsidRPr="00326127">
        <w:rPr>
          <w:rFonts w:ascii="Arial" w:hAnsi="Arial" w:cs="Arial"/>
        </w:rPr>
        <w:tab/>
      </w:r>
      <w:r w:rsidR="00C91DFC" w:rsidRPr="00326127">
        <w:rPr>
          <w:rFonts w:ascii="Arial" w:hAnsi="Arial" w:cs="Arial"/>
        </w:rPr>
        <w:t>In contrast</w:t>
      </w:r>
      <w:r w:rsidR="00B1081C" w:rsidRPr="00326127">
        <w:rPr>
          <w:rFonts w:ascii="Arial" w:hAnsi="Arial" w:cs="Arial"/>
        </w:rPr>
        <w:t xml:space="preserve"> to EU regulations</w:t>
      </w:r>
      <w:r w:rsidR="00C91DFC" w:rsidRPr="00326127">
        <w:rPr>
          <w:rFonts w:ascii="Arial" w:hAnsi="Arial" w:cs="Arial"/>
        </w:rPr>
        <w:t>, general guidance states that it is prudent to set the terms of charge and any clawback rights relative to the period over which services are expected to be delivered rather than relative to the life of the asset. Therefore,</w:t>
      </w:r>
      <w:r w:rsidR="00CD1502" w:rsidRPr="00326127">
        <w:rPr>
          <w:rFonts w:ascii="Arial" w:hAnsi="Arial" w:cs="Arial"/>
        </w:rPr>
        <w:t xml:space="preserve"> Intermediate </w:t>
      </w:r>
      <w:r w:rsidR="00C57616" w:rsidRPr="00326127">
        <w:rPr>
          <w:rFonts w:ascii="Arial" w:hAnsi="Arial" w:cs="Arial"/>
        </w:rPr>
        <w:t>Bodies should</w:t>
      </w:r>
      <w:r w:rsidR="00C91DFC" w:rsidRPr="00326127">
        <w:rPr>
          <w:rFonts w:ascii="Arial" w:hAnsi="Arial" w:cs="Arial"/>
        </w:rPr>
        <w:t xml:space="preserve"> consider each grant on a case by case basis and set the higher retention period applicable. Detailed guidance relating to options for determining the charge and clawback pe</w:t>
      </w:r>
      <w:r w:rsidR="0098196E" w:rsidRPr="00326127">
        <w:rPr>
          <w:rFonts w:ascii="Arial" w:hAnsi="Arial" w:cs="Arial"/>
        </w:rPr>
        <w:t>riods are contained in the DAO.</w:t>
      </w:r>
      <w:r w:rsidR="00372FA8" w:rsidRPr="00326127">
        <w:rPr>
          <w:rFonts w:ascii="Arial" w:hAnsi="Arial" w:cs="Arial"/>
        </w:rPr>
        <w:t xml:space="preserve"> </w:t>
      </w:r>
    </w:p>
    <w:p w:rsidR="00372FA8" w:rsidRPr="00326127" w:rsidRDefault="00CD61F1" w:rsidP="00CD61F1">
      <w:pPr>
        <w:autoSpaceDE w:val="0"/>
        <w:autoSpaceDN w:val="0"/>
        <w:adjustRightInd w:val="0"/>
        <w:spacing w:line="360" w:lineRule="auto"/>
        <w:ind w:left="720" w:hanging="720"/>
        <w:rPr>
          <w:rFonts w:ascii="Arial" w:hAnsi="Arial" w:cs="Arial"/>
        </w:rPr>
      </w:pPr>
      <w:r w:rsidRPr="00326127">
        <w:rPr>
          <w:rFonts w:ascii="Arial" w:hAnsi="Arial" w:cs="Arial"/>
        </w:rPr>
        <w:t>6.4</w:t>
      </w:r>
      <w:r w:rsidRPr="00326127">
        <w:rPr>
          <w:rFonts w:ascii="Arial" w:hAnsi="Arial" w:cs="Arial"/>
        </w:rPr>
        <w:tab/>
      </w:r>
      <w:r w:rsidR="00B1081C" w:rsidRPr="00326127">
        <w:rPr>
          <w:rFonts w:ascii="Arial" w:hAnsi="Arial" w:cs="Arial"/>
        </w:rPr>
        <w:t>I</w:t>
      </w:r>
      <w:r w:rsidR="00372FA8" w:rsidRPr="00326127">
        <w:rPr>
          <w:rFonts w:ascii="Arial" w:hAnsi="Arial" w:cs="Arial"/>
        </w:rPr>
        <w:t>n light of the more stringent EU requirements</w:t>
      </w:r>
      <w:r w:rsidR="0098196E" w:rsidRPr="00326127">
        <w:rPr>
          <w:rFonts w:ascii="Arial" w:hAnsi="Arial" w:cs="Arial"/>
        </w:rPr>
        <w:t xml:space="preserve">, </w:t>
      </w:r>
      <w:r w:rsidR="00372FA8" w:rsidRPr="00326127">
        <w:rPr>
          <w:rFonts w:ascii="Arial" w:hAnsi="Arial" w:cs="Arial"/>
        </w:rPr>
        <w:t xml:space="preserve">the Managing Authority has developed a table </w:t>
      </w:r>
      <w:r w:rsidR="00C57616">
        <w:rPr>
          <w:rFonts w:ascii="Arial" w:hAnsi="Arial" w:cs="Arial"/>
        </w:rPr>
        <w:t>(</w:t>
      </w:r>
      <w:r w:rsidR="00482B06" w:rsidRPr="00326127">
        <w:rPr>
          <w:rFonts w:ascii="Arial" w:hAnsi="Arial" w:cs="Arial"/>
        </w:rPr>
        <w:t>Annex</w:t>
      </w:r>
      <w:r w:rsidR="00C57616">
        <w:rPr>
          <w:rFonts w:ascii="Arial" w:hAnsi="Arial" w:cs="Arial"/>
        </w:rPr>
        <w:t xml:space="preserve"> A</w:t>
      </w:r>
      <w:r w:rsidR="00482B06" w:rsidRPr="00326127">
        <w:rPr>
          <w:rFonts w:ascii="Arial" w:hAnsi="Arial" w:cs="Arial"/>
        </w:rPr>
        <w:t xml:space="preserve">) </w:t>
      </w:r>
      <w:r w:rsidR="00372FA8" w:rsidRPr="00326127">
        <w:rPr>
          <w:rFonts w:ascii="Arial" w:hAnsi="Arial" w:cs="Arial"/>
        </w:rPr>
        <w:t xml:space="preserve">which indicates </w:t>
      </w:r>
      <w:r w:rsidR="0098196E" w:rsidRPr="00326127">
        <w:rPr>
          <w:rFonts w:ascii="Arial" w:hAnsi="Arial" w:cs="Arial"/>
        </w:rPr>
        <w:t xml:space="preserve">the </w:t>
      </w:r>
      <w:r w:rsidR="00372FA8" w:rsidRPr="00326127">
        <w:rPr>
          <w:rFonts w:ascii="Arial" w:hAnsi="Arial" w:cs="Arial"/>
        </w:rPr>
        <w:t>standard types of grant and</w:t>
      </w:r>
      <w:r w:rsidR="0045093A" w:rsidRPr="00326127">
        <w:rPr>
          <w:rFonts w:ascii="Arial" w:hAnsi="Arial" w:cs="Arial"/>
        </w:rPr>
        <w:t xml:space="preserve"> </w:t>
      </w:r>
      <w:r w:rsidR="00372FA8" w:rsidRPr="00326127">
        <w:rPr>
          <w:rFonts w:ascii="Arial" w:hAnsi="Arial" w:cs="Arial"/>
        </w:rPr>
        <w:t>clawback periods</w:t>
      </w:r>
      <w:r w:rsidR="00EA38B4" w:rsidRPr="00326127">
        <w:rPr>
          <w:rFonts w:ascii="Arial" w:hAnsi="Arial" w:cs="Arial"/>
        </w:rPr>
        <w:t xml:space="preserve"> which should be applied where EU funding is involved. </w:t>
      </w:r>
      <w:r w:rsidR="0098196E" w:rsidRPr="00326127">
        <w:rPr>
          <w:rFonts w:ascii="Arial" w:hAnsi="Arial" w:cs="Arial"/>
        </w:rPr>
        <w:t xml:space="preserve">This </w:t>
      </w:r>
      <w:r w:rsidR="00372FA8" w:rsidRPr="00326127">
        <w:rPr>
          <w:rFonts w:ascii="Arial" w:hAnsi="Arial" w:cs="Arial"/>
        </w:rPr>
        <w:t xml:space="preserve">aims to ensure standardisation </w:t>
      </w:r>
      <w:r w:rsidR="00A95B06" w:rsidRPr="00326127">
        <w:rPr>
          <w:rFonts w:ascii="Arial" w:hAnsi="Arial" w:cs="Arial"/>
        </w:rPr>
        <w:t xml:space="preserve">across operations (projects) </w:t>
      </w:r>
      <w:r w:rsidR="00372FA8" w:rsidRPr="00326127">
        <w:rPr>
          <w:rFonts w:ascii="Arial" w:hAnsi="Arial" w:cs="Arial"/>
        </w:rPr>
        <w:t>whilst</w:t>
      </w:r>
      <w:r w:rsidR="00482B06" w:rsidRPr="00326127">
        <w:rPr>
          <w:rFonts w:ascii="Arial" w:hAnsi="Arial" w:cs="Arial"/>
        </w:rPr>
        <w:t xml:space="preserve"> also</w:t>
      </w:r>
      <w:r w:rsidR="00372FA8" w:rsidRPr="00326127">
        <w:rPr>
          <w:rFonts w:ascii="Arial" w:hAnsi="Arial" w:cs="Arial"/>
        </w:rPr>
        <w:t xml:space="preserve"> ensuring that the </w:t>
      </w:r>
      <w:r w:rsidR="00482B06" w:rsidRPr="00326127">
        <w:rPr>
          <w:rFonts w:ascii="Arial" w:hAnsi="Arial" w:cs="Arial"/>
        </w:rPr>
        <w:t xml:space="preserve">EU </w:t>
      </w:r>
      <w:r w:rsidR="00372FA8" w:rsidRPr="00326127">
        <w:rPr>
          <w:rFonts w:ascii="Arial" w:hAnsi="Arial" w:cs="Arial"/>
        </w:rPr>
        <w:t>rules are observed.</w:t>
      </w:r>
    </w:p>
    <w:p w:rsidR="00C91DFC" w:rsidRPr="001249B8" w:rsidRDefault="00C91DFC" w:rsidP="00372FA8">
      <w:pPr>
        <w:spacing w:line="360" w:lineRule="auto"/>
        <w:ind w:left="720" w:hanging="720"/>
        <w:jc w:val="both"/>
        <w:rPr>
          <w:rFonts w:ascii="Arial" w:hAnsi="Arial" w:cs="Arial"/>
          <w:color w:val="000000"/>
        </w:rPr>
      </w:pPr>
    </w:p>
    <w:p w:rsidR="00C91DFC" w:rsidRDefault="00482B06" w:rsidP="001249B8">
      <w:pPr>
        <w:spacing w:line="360" w:lineRule="auto"/>
        <w:ind w:left="720" w:hanging="720"/>
        <w:jc w:val="both"/>
        <w:rPr>
          <w:rFonts w:ascii="Arial" w:hAnsi="Arial" w:cs="Arial"/>
          <w:color w:val="000000"/>
        </w:rPr>
      </w:pPr>
      <w:r>
        <w:rPr>
          <w:rFonts w:ascii="Arial" w:hAnsi="Arial" w:cs="Arial"/>
          <w:color w:val="000000"/>
        </w:rPr>
        <w:t>6.5</w:t>
      </w:r>
      <w:r w:rsidR="00C91DFC" w:rsidRPr="001249B8">
        <w:rPr>
          <w:rFonts w:ascii="Arial" w:hAnsi="Arial" w:cs="Arial"/>
          <w:color w:val="000000"/>
        </w:rPr>
        <w:tab/>
        <w:t>There should be scope to retain the charge and review the clawback period if the project has not met the agreed objectives.</w:t>
      </w:r>
    </w:p>
    <w:p w:rsidR="00EC03AF" w:rsidRDefault="00EC03AF" w:rsidP="001249B8">
      <w:pPr>
        <w:spacing w:line="360" w:lineRule="auto"/>
        <w:ind w:left="720" w:hanging="720"/>
        <w:jc w:val="both"/>
        <w:rPr>
          <w:rFonts w:ascii="Arial" w:hAnsi="Arial" w:cs="Arial"/>
          <w:color w:val="000000"/>
        </w:rPr>
      </w:pPr>
    </w:p>
    <w:p w:rsidR="00C91DFC" w:rsidRPr="00916968" w:rsidRDefault="00916968" w:rsidP="001249B8">
      <w:pPr>
        <w:spacing w:line="360" w:lineRule="auto"/>
        <w:jc w:val="both"/>
        <w:rPr>
          <w:rFonts w:ascii="Arial" w:hAnsi="Arial" w:cs="Arial"/>
          <w:b/>
          <w:bCs/>
        </w:rPr>
      </w:pPr>
      <w:r>
        <w:rPr>
          <w:rFonts w:ascii="Arial" w:hAnsi="Arial" w:cs="Arial"/>
          <w:b/>
          <w:bCs/>
        </w:rPr>
        <w:br w:type="page"/>
      </w:r>
      <w:r w:rsidR="00C91DFC" w:rsidRPr="00430A4F">
        <w:rPr>
          <w:rFonts w:ascii="Arial" w:hAnsi="Arial" w:cs="Arial"/>
          <w:b/>
          <w:bCs/>
        </w:rPr>
        <w:lastRenderedPageBreak/>
        <w:t>7.</w:t>
      </w:r>
      <w:r w:rsidR="00C57616">
        <w:rPr>
          <w:rFonts w:ascii="Arial" w:hAnsi="Arial" w:cs="Arial"/>
          <w:b/>
          <w:bCs/>
        </w:rPr>
        <w:t>0</w:t>
      </w:r>
      <w:r w:rsidR="00C91DFC" w:rsidRPr="00430A4F">
        <w:rPr>
          <w:rFonts w:ascii="Arial" w:hAnsi="Arial" w:cs="Arial"/>
          <w:b/>
          <w:bCs/>
        </w:rPr>
        <w:tab/>
        <w:t>Reporting of Substantial Changes to Operations</w:t>
      </w:r>
    </w:p>
    <w:p w:rsidR="00C91DFC" w:rsidRPr="00430A4F" w:rsidRDefault="00C91DFC" w:rsidP="001249B8">
      <w:pPr>
        <w:spacing w:after="120" w:line="360" w:lineRule="auto"/>
        <w:ind w:left="720" w:hanging="720"/>
        <w:jc w:val="both"/>
        <w:rPr>
          <w:rFonts w:ascii="Arial" w:hAnsi="Arial" w:cs="Arial"/>
        </w:rPr>
      </w:pPr>
      <w:r w:rsidRPr="00430A4F">
        <w:rPr>
          <w:rFonts w:ascii="Arial" w:hAnsi="Arial" w:cs="Arial"/>
        </w:rPr>
        <w:t>7.</w:t>
      </w:r>
      <w:r w:rsidR="00261FB6" w:rsidRPr="00430A4F">
        <w:rPr>
          <w:rFonts w:ascii="Arial" w:hAnsi="Arial" w:cs="Arial"/>
        </w:rPr>
        <w:t>1</w:t>
      </w:r>
      <w:r w:rsidRPr="00430A4F">
        <w:rPr>
          <w:rFonts w:ascii="Arial" w:hAnsi="Arial" w:cs="Arial"/>
        </w:rPr>
        <w:tab/>
        <w:t xml:space="preserve">The </w:t>
      </w:r>
      <w:r w:rsidR="00261FB6" w:rsidRPr="00430A4F">
        <w:rPr>
          <w:rFonts w:ascii="Arial" w:hAnsi="Arial" w:cs="Arial"/>
        </w:rPr>
        <w:t xml:space="preserve">Intermediate Body </w:t>
      </w:r>
      <w:r w:rsidRPr="00430A4F">
        <w:rPr>
          <w:rFonts w:ascii="Arial" w:hAnsi="Arial" w:cs="Arial"/>
        </w:rPr>
        <w:t xml:space="preserve">must immediately inform the Managing Authority of any significant changes to the implementation of an operation, to enable the following actions: </w:t>
      </w:r>
    </w:p>
    <w:p w:rsidR="00C91DFC" w:rsidRPr="00430A4F" w:rsidRDefault="00C57616" w:rsidP="001249B8">
      <w:pPr>
        <w:numPr>
          <w:ilvl w:val="0"/>
          <w:numId w:val="3"/>
        </w:numPr>
        <w:spacing w:after="120" w:line="360" w:lineRule="auto"/>
        <w:ind w:left="1003" w:hanging="360"/>
        <w:jc w:val="both"/>
        <w:rPr>
          <w:rFonts w:ascii="Arial" w:hAnsi="Arial" w:cs="Arial"/>
        </w:rPr>
      </w:pPr>
      <w:r>
        <w:rPr>
          <w:rFonts w:ascii="Arial" w:hAnsi="Arial" w:cs="Arial"/>
        </w:rPr>
        <w:t>T</w:t>
      </w:r>
      <w:r w:rsidR="00C91DFC" w:rsidRPr="00430A4F">
        <w:rPr>
          <w:rFonts w:ascii="Arial" w:hAnsi="Arial" w:cs="Arial"/>
        </w:rPr>
        <w:t xml:space="preserve">o determine and apply the necessary financial correction; and   </w:t>
      </w:r>
    </w:p>
    <w:p w:rsidR="00C91DFC" w:rsidRPr="00430A4F" w:rsidRDefault="00C91DFC" w:rsidP="001249B8">
      <w:pPr>
        <w:numPr>
          <w:ilvl w:val="0"/>
          <w:numId w:val="3"/>
        </w:numPr>
        <w:spacing w:after="120" w:line="360" w:lineRule="auto"/>
        <w:ind w:left="1003" w:hanging="360"/>
        <w:jc w:val="both"/>
        <w:rPr>
          <w:rFonts w:ascii="Arial" w:hAnsi="Arial" w:cs="Arial"/>
        </w:rPr>
      </w:pPr>
      <w:r w:rsidRPr="00430A4F">
        <w:rPr>
          <w:rFonts w:ascii="Arial" w:hAnsi="Arial" w:cs="Arial"/>
        </w:rPr>
        <w:t xml:space="preserve">The Managing Authority to report the change in the Annual Implementation Report to the Commission. </w:t>
      </w:r>
    </w:p>
    <w:p w:rsidR="00C57616" w:rsidRPr="001249B8" w:rsidRDefault="00C57616" w:rsidP="001249B8">
      <w:pPr>
        <w:spacing w:line="360" w:lineRule="auto"/>
        <w:jc w:val="both"/>
        <w:rPr>
          <w:rFonts w:ascii="Arial" w:hAnsi="Arial" w:cs="Arial"/>
          <w:color w:val="000000"/>
        </w:rPr>
      </w:pPr>
    </w:p>
    <w:p w:rsidR="00C91DFC" w:rsidRPr="00916968" w:rsidRDefault="00482B06" w:rsidP="001249B8">
      <w:pPr>
        <w:spacing w:line="360" w:lineRule="auto"/>
        <w:jc w:val="both"/>
        <w:rPr>
          <w:rFonts w:ascii="Arial" w:hAnsi="Arial" w:cs="Arial"/>
          <w:b/>
          <w:bCs/>
          <w:color w:val="FF0000"/>
        </w:rPr>
      </w:pPr>
      <w:r>
        <w:rPr>
          <w:rFonts w:ascii="Arial" w:hAnsi="Arial" w:cs="Arial"/>
          <w:b/>
          <w:bCs/>
          <w:color w:val="000000"/>
        </w:rPr>
        <w:t>8.</w:t>
      </w:r>
      <w:r w:rsidR="00C57616">
        <w:rPr>
          <w:rFonts w:ascii="Arial" w:hAnsi="Arial" w:cs="Arial"/>
          <w:b/>
          <w:bCs/>
          <w:color w:val="000000"/>
        </w:rPr>
        <w:t>0</w:t>
      </w:r>
      <w:r>
        <w:rPr>
          <w:rFonts w:ascii="Arial" w:hAnsi="Arial" w:cs="Arial"/>
          <w:b/>
          <w:bCs/>
          <w:color w:val="000000"/>
        </w:rPr>
        <w:tab/>
      </w:r>
      <w:r w:rsidR="00C91DFC" w:rsidRPr="001249B8">
        <w:rPr>
          <w:rFonts w:ascii="Arial" w:hAnsi="Arial" w:cs="Arial"/>
          <w:b/>
          <w:bCs/>
          <w:color w:val="000000"/>
        </w:rPr>
        <w:t>Agreeing not to claw back proceeds once an asset is to be sold</w:t>
      </w:r>
    </w:p>
    <w:p w:rsidR="00C91DFC" w:rsidRPr="001249B8" w:rsidRDefault="00482B06" w:rsidP="00916968">
      <w:pPr>
        <w:spacing w:line="360" w:lineRule="auto"/>
        <w:ind w:left="720" w:hanging="720"/>
        <w:jc w:val="both"/>
        <w:rPr>
          <w:rFonts w:ascii="Arial" w:hAnsi="Arial" w:cs="Arial"/>
          <w:color w:val="0000FF"/>
        </w:rPr>
      </w:pPr>
      <w:r>
        <w:rPr>
          <w:rFonts w:ascii="Arial" w:hAnsi="Arial" w:cs="Arial"/>
          <w:color w:val="000000"/>
        </w:rPr>
        <w:t>8.1</w:t>
      </w:r>
      <w:r>
        <w:rPr>
          <w:rFonts w:ascii="Arial" w:hAnsi="Arial" w:cs="Arial"/>
          <w:color w:val="000000"/>
        </w:rPr>
        <w:tab/>
      </w:r>
      <w:r w:rsidR="00C91DFC" w:rsidRPr="001249B8">
        <w:rPr>
          <w:rFonts w:ascii="Arial" w:hAnsi="Arial" w:cs="Arial"/>
          <w:color w:val="000000"/>
        </w:rPr>
        <w:t>Normal guidance allows for occasions where a grant-funded asset is to be sold but the</w:t>
      </w:r>
      <w:r w:rsidR="005A4F24">
        <w:rPr>
          <w:rFonts w:ascii="Arial" w:hAnsi="Arial" w:cs="Arial"/>
          <w:color w:val="000000"/>
        </w:rPr>
        <w:t xml:space="preserve"> Intermediate </w:t>
      </w:r>
      <w:r w:rsidR="00374C5B">
        <w:rPr>
          <w:rFonts w:ascii="Arial" w:hAnsi="Arial" w:cs="Arial"/>
          <w:color w:val="000000"/>
        </w:rPr>
        <w:t>Body</w:t>
      </w:r>
      <w:r w:rsidR="00C91DFC" w:rsidRPr="001249B8">
        <w:rPr>
          <w:rFonts w:ascii="Arial" w:hAnsi="Arial" w:cs="Arial"/>
          <w:color w:val="000000"/>
        </w:rPr>
        <w:t xml:space="preserve"> considers that the proceeds should not be </w:t>
      </w:r>
      <w:r w:rsidR="00C91DFC" w:rsidRPr="00430A4F">
        <w:rPr>
          <w:rFonts w:ascii="Arial" w:hAnsi="Arial" w:cs="Arial"/>
        </w:rPr>
        <w:t>clawed back. Where EU funds are involved (and original grant conditions are still applicable) the Intermediate Body should consult the Managing Authority about the proposal, in advance of entering into any agreement.</w:t>
      </w:r>
      <w:r w:rsidR="00C91DFC" w:rsidRPr="001249B8">
        <w:rPr>
          <w:rFonts w:ascii="Arial" w:hAnsi="Arial" w:cs="Arial"/>
          <w:color w:val="0000FF"/>
        </w:rPr>
        <w:t xml:space="preserve"> </w:t>
      </w:r>
    </w:p>
    <w:p w:rsidR="00C91DFC" w:rsidRPr="00430A4F" w:rsidRDefault="00482B06" w:rsidP="00482B06">
      <w:pPr>
        <w:spacing w:line="360" w:lineRule="auto"/>
        <w:ind w:left="720" w:hanging="720"/>
        <w:jc w:val="both"/>
        <w:rPr>
          <w:rFonts w:ascii="Arial" w:hAnsi="Arial" w:cs="Arial"/>
        </w:rPr>
      </w:pPr>
      <w:r w:rsidRPr="00430A4F">
        <w:rPr>
          <w:rFonts w:ascii="Arial" w:hAnsi="Arial" w:cs="Arial"/>
        </w:rPr>
        <w:t>8.2</w:t>
      </w:r>
      <w:r w:rsidRPr="00430A4F">
        <w:rPr>
          <w:rFonts w:ascii="Arial" w:hAnsi="Arial" w:cs="Arial"/>
        </w:rPr>
        <w:tab/>
      </w:r>
      <w:r w:rsidR="00C91DFC" w:rsidRPr="00430A4F">
        <w:rPr>
          <w:rFonts w:ascii="Arial" w:hAnsi="Arial" w:cs="Arial"/>
        </w:rPr>
        <w:t xml:space="preserve">Beneficiaries should not be permitted to retain EU funds in lieu of other future grants as this arrangement would not provide a sufficient audit trail and there is a risk that future grants would fall outside the eligible period of the programme.  </w:t>
      </w:r>
    </w:p>
    <w:p w:rsidR="005F0E50" w:rsidRDefault="005F0E50" w:rsidP="001249B8">
      <w:pPr>
        <w:spacing w:line="360" w:lineRule="auto"/>
        <w:jc w:val="right"/>
        <w:rPr>
          <w:rFonts w:ascii="Arial" w:hAnsi="Arial" w:cs="Arial"/>
          <w:color w:val="000000"/>
        </w:rPr>
      </w:pPr>
    </w:p>
    <w:p w:rsidR="005F0E50" w:rsidRDefault="005F0E50" w:rsidP="001249B8">
      <w:pPr>
        <w:spacing w:line="360" w:lineRule="auto"/>
        <w:jc w:val="right"/>
        <w:rPr>
          <w:rFonts w:ascii="Arial" w:hAnsi="Arial" w:cs="Arial"/>
          <w:color w:val="000000"/>
        </w:rPr>
      </w:pPr>
    </w:p>
    <w:p w:rsidR="005F0E50" w:rsidRDefault="005F0E50" w:rsidP="001249B8">
      <w:pPr>
        <w:spacing w:line="360" w:lineRule="auto"/>
        <w:jc w:val="right"/>
        <w:rPr>
          <w:rFonts w:ascii="Arial" w:hAnsi="Arial" w:cs="Arial"/>
          <w:color w:val="000000"/>
        </w:rPr>
      </w:pPr>
    </w:p>
    <w:p w:rsidR="005F0E50" w:rsidRDefault="005F0E50" w:rsidP="001249B8">
      <w:pPr>
        <w:spacing w:line="360" w:lineRule="auto"/>
        <w:jc w:val="right"/>
        <w:rPr>
          <w:rFonts w:ascii="Arial" w:hAnsi="Arial" w:cs="Arial"/>
          <w:color w:val="000000"/>
        </w:rPr>
      </w:pPr>
    </w:p>
    <w:p w:rsidR="005F0E50" w:rsidRDefault="005F0E50" w:rsidP="001249B8">
      <w:pPr>
        <w:spacing w:line="360" w:lineRule="auto"/>
        <w:jc w:val="right"/>
        <w:rPr>
          <w:rFonts w:ascii="Arial" w:hAnsi="Arial" w:cs="Arial"/>
          <w:color w:val="000000"/>
        </w:rPr>
      </w:pPr>
    </w:p>
    <w:p w:rsidR="005F0E50" w:rsidRDefault="005F0E50" w:rsidP="001249B8">
      <w:pPr>
        <w:spacing w:line="360" w:lineRule="auto"/>
        <w:jc w:val="right"/>
        <w:rPr>
          <w:rFonts w:ascii="Arial" w:hAnsi="Arial" w:cs="Arial"/>
          <w:color w:val="000000"/>
        </w:rPr>
      </w:pPr>
    </w:p>
    <w:p w:rsidR="005F0E50" w:rsidRDefault="005F0E50" w:rsidP="001249B8">
      <w:pPr>
        <w:spacing w:line="360" w:lineRule="auto"/>
        <w:jc w:val="right"/>
        <w:rPr>
          <w:rFonts w:ascii="Arial" w:hAnsi="Arial" w:cs="Arial"/>
          <w:color w:val="000000"/>
        </w:rPr>
      </w:pPr>
    </w:p>
    <w:p w:rsidR="005F0E50" w:rsidRDefault="005F0E50" w:rsidP="001249B8">
      <w:pPr>
        <w:spacing w:line="360" w:lineRule="auto"/>
        <w:jc w:val="right"/>
        <w:rPr>
          <w:rFonts w:ascii="Arial" w:hAnsi="Arial" w:cs="Arial"/>
          <w:color w:val="000000"/>
        </w:rPr>
      </w:pPr>
    </w:p>
    <w:p w:rsidR="00916968" w:rsidRDefault="005F0E50" w:rsidP="001249B8">
      <w:pPr>
        <w:spacing w:line="360" w:lineRule="auto"/>
        <w:jc w:val="right"/>
        <w:rPr>
          <w:rFonts w:ascii="Arial" w:hAnsi="Arial" w:cs="Arial"/>
          <w:b/>
          <w:color w:val="000000"/>
        </w:rPr>
      </w:pPr>
      <w:r w:rsidRPr="005F0E50">
        <w:rPr>
          <w:rFonts w:ascii="Arial" w:hAnsi="Arial" w:cs="Arial"/>
          <w:b/>
          <w:color w:val="000000"/>
        </w:rPr>
        <w:t>July 2010</w:t>
      </w:r>
    </w:p>
    <w:p w:rsidR="00916968" w:rsidRDefault="00916968" w:rsidP="001249B8">
      <w:pPr>
        <w:spacing w:line="360" w:lineRule="auto"/>
        <w:jc w:val="right"/>
        <w:rPr>
          <w:rFonts w:ascii="Arial" w:hAnsi="Arial" w:cs="Arial"/>
          <w:b/>
          <w:color w:val="000000"/>
        </w:rPr>
      </w:pPr>
      <w:r>
        <w:rPr>
          <w:rFonts w:ascii="Arial" w:hAnsi="Arial" w:cs="Arial"/>
          <w:b/>
          <w:color w:val="000000"/>
        </w:rPr>
        <w:t>Revised Jan 2015</w:t>
      </w:r>
    </w:p>
    <w:p w:rsidR="00C91DFC" w:rsidRPr="001249B8" w:rsidRDefault="00C91DFC" w:rsidP="001249B8">
      <w:pPr>
        <w:spacing w:line="360" w:lineRule="auto"/>
        <w:jc w:val="right"/>
        <w:rPr>
          <w:rFonts w:ascii="Arial" w:hAnsi="Arial" w:cs="Arial"/>
          <w:b/>
          <w:bCs/>
          <w:color w:val="000000"/>
        </w:rPr>
      </w:pPr>
      <w:r w:rsidRPr="001249B8">
        <w:rPr>
          <w:rFonts w:ascii="Arial" w:hAnsi="Arial" w:cs="Arial"/>
          <w:color w:val="000000"/>
        </w:rPr>
        <w:br w:type="page"/>
      </w:r>
      <w:r w:rsidR="00372FA8">
        <w:rPr>
          <w:rFonts w:ascii="Arial" w:hAnsi="Arial" w:cs="Arial"/>
          <w:b/>
          <w:bCs/>
          <w:color w:val="000000"/>
        </w:rPr>
        <w:lastRenderedPageBreak/>
        <w:t>Annex</w:t>
      </w:r>
      <w:r w:rsidR="00C57616">
        <w:rPr>
          <w:rFonts w:ascii="Arial" w:hAnsi="Arial" w:cs="Arial"/>
          <w:b/>
          <w:bCs/>
          <w:color w:val="000000"/>
        </w:rPr>
        <w:t xml:space="preserve"> A</w:t>
      </w:r>
    </w:p>
    <w:p w:rsidR="00C91DFC" w:rsidRPr="001249B8" w:rsidRDefault="00C91DFC" w:rsidP="001249B8">
      <w:pPr>
        <w:spacing w:line="360" w:lineRule="auto"/>
        <w:jc w:val="both"/>
        <w:rPr>
          <w:rFonts w:ascii="Arial" w:hAnsi="Arial" w:cs="Arial"/>
          <w:b/>
          <w:bCs/>
          <w:color w:val="000000"/>
        </w:rPr>
      </w:pPr>
      <w:r w:rsidRPr="001249B8">
        <w:rPr>
          <w:rFonts w:ascii="Arial" w:hAnsi="Arial" w:cs="Arial"/>
          <w:b/>
          <w:bCs/>
          <w:color w:val="000000"/>
        </w:rPr>
        <w:t>Retention Period</w:t>
      </w:r>
    </w:p>
    <w:p w:rsidR="00C91DFC" w:rsidRPr="001249B8" w:rsidRDefault="00C91DFC" w:rsidP="001249B8">
      <w:pPr>
        <w:spacing w:line="360" w:lineRule="auto"/>
        <w:jc w:val="both"/>
        <w:rPr>
          <w:rFonts w:ascii="Arial" w:hAnsi="Arial" w:cs="Arial"/>
        </w:rPr>
      </w:pPr>
      <w:r w:rsidRPr="001249B8">
        <w:rPr>
          <w:rFonts w:ascii="Arial" w:hAnsi="Arial" w:cs="Arial"/>
        </w:rPr>
        <w:t xml:space="preserve">This table outlines </w:t>
      </w:r>
      <w:r w:rsidR="0050469B">
        <w:rPr>
          <w:rFonts w:ascii="Arial" w:hAnsi="Arial" w:cs="Arial"/>
        </w:rPr>
        <w:t xml:space="preserve">suggested </w:t>
      </w:r>
      <w:r w:rsidRPr="001249B8">
        <w:rPr>
          <w:rFonts w:ascii="Arial" w:hAnsi="Arial" w:cs="Arial"/>
        </w:rPr>
        <w:t>retention periods</w:t>
      </w:r>
      <w:r w:rsidR="0050469B">
        <w:rPr>
          <w:rFonts w:ascii="Arial" w:hAnsi="Arial" w:cs="Arial"/>
        </w:rPr>
        <w:t xml:space="preserve">. </w:t>
      </w:r>
      <w:r w:rsidRPr="001249B8">
        <w:rPr>
          <w:rFonts w:ascii="Arial" w:hAnsi="Arial" w:cs="Arial"/>
        </w:rPr>
        <w:t>However, individual projects should be considered on a case by case basis and longer retention periods considered, particularly for major projects involving long term objectives.</w:t>
      </w:r>
    </w:p>
    <w:p w:rsidR="00C91DFC" w:rsidRDefault="00C91DFC" w:rsidP="001249B8">
      <w:pPr>
        <w:spacing w:line="360" w:lineRule="auto"/>
        <w:jc w:val="both"/>
        <w:rPr>
          <w:rFonts w:ascii="Arial" w:hAnsi="Arial" w:cs="Arial"/>
        </w:rPr>
      </w:pPr>
      <w:r w:rsidRPr="001249B8">
        <w:rPr>
          <w:rFonts w:ascii="Arial" w:hAnsi="Arial" w:cs="Arial"/>
        </w:rPr>
        <w:t>These retention periods relate specifically to retention of an interest in the funded assets on the basis of outcomes rather than purely on the life of the asset.</w:t>
      </w:r>
    </w:p>
    <w:p w:rsidR="00DE20A5" w:rsidRPr="001249B8" w:rsidRDefault="00DE20A5" w:rsidP="001249B8">
      <w:pPr>
        <w:spacing w:line="360" w:lineRule="auto"/>
        <w:jc w:val="both"/>
        <w:rPr>
          <w:rFonts w:ascii="Arial" w:hAnsi="Arial" w:cs="Arial"/>
          <w:b/>
          <w:bCs/>
          <w:color w:val="000000"/>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tblPr>
      <w:tblGrid>
        <w:gridCol w:w="3588"/>
        <w:gridCol w:w="2640"/>
        <w:gridCol w:w="1440"/>
        <w:gridCol w:w="2520"/>
      </w:tblGrid>
      <w:tr w:rsidR="00C91DFC" w:rsidRPr="00A732AC" w:rsidTr="00C57616">
        <w:tc>
          <w:tcPr>
            <w:tcW w:w="3588" w:type="dxa"/>
            <w:tcBorders>
              <w:top w:val="single" w:sz="4" w:space="0" w:color="auto"/>
              <w:bottom w:val="single" w:sz="4" w:space="0" w:color="auto"/>
              <w:right w:val="single" w:sz="4" w:space="0" w:color="auto"/>
            </w:tcBorders>
          </w:tcPr>
          <w:p w:rsidR="00C91DFC" w:rsidRPr="00A732AC" w:rsidRDefault="00C91DFC" w:rsidP="00130E5F">
            <w:pPr>
              <w:spacing w:line="360" w:lineRule="auto"/>
              <w:rPr>
                <w:rFonts w:ascii="Arial" w:hAnsi="Arial" w:cs="Arial"/>
                <w:b/>
                <w:bCs/>
                <w:color w:val="000000"/>
              </w:rPr>
            </w:pPr>
            <w:r w:rsidRPr="00A732AC">
              <w:rPr>
                <w:rFonts w:ascii="Arial" w:hAnsi="Arial" w:cs="Arial"/>
                <w:b/>
                <w:bCs/>
                <w:color w:val="000000"/>
              </w:rPr>
              <w:t>Category</w:t>
            </w:r>
          </w:p>
        </w:tc>
        <w:tc>
          <w:tcPr>
            <w:tcW w:w="2640" w:type="dxa"/>
            <w:tcBorders>
              <w:top w:val="single" w:sz="4" w:space="0" w:color="auto"/>
              <w:left w:val="single" w:sz="4" w:space="0" w:color="auto"/>
              <w:bottom w:val="single" w:sz="4" w:space="0" w:color="auto"/>
              <w:right w:val="single" w:sz="4" w:space="0" w:color="auto"/>
            </w:tcBorders>
          </w:tcPr>
          <w:p w:rsidR="00C91DFC" w:rsidRPr="00A732AC" w:rsidRDefault="00C91DFC" w:rsidP="001249B8">
            <w:pPr>
              <w:spacing w:line="360" w:lineRule="auto"/>
              <w:jc w:val="both"/>
              <w:rPr>
                <w:rFonts w:ascii="Arial" w:hAnsi="Arial" w:cs="Arial"/>
                <w:b/>
                <w:bCs/>
                <w:color w:val="000000"/>
              </w:rPr>
            </w:pPr>
            <w:r w:rsidRPr="00A732AC">
              <w:rPr>
                <w:rFonts w:ascii="Arial" w:hAnsi="Arial" w:cs="Arial"/>
                <w:b/>
                <w:bCs/>
                <w:color w:val="000000"/>
              </w:rPr>
              <w:t>Objective</w:t>
            </w:r>
          </w:p>
        </w:tc>
        <w:tc>
          <w:tcPr>
            <w:tcW w:w="1440" w:type="dxa"/>
            <w:tcBorders>
              <w:top w:val="single" w:sz="4" w:space="0" w:color="auto"/>
              <w:left w:val="single" w:sz="4" w:space="0" w:color="auto"/>
              <w:bottom w:val="single" w:sz="4" w:space="0" w:color="auto"/>
              <w:right w:val="single" w:sz="4" w:space="0" w:color="auto"/>
            </w:tcBorders>
          </w:tcPr>
          <w:p w:rsidR="00C91DFC" w:rsidRPr="00A732AC" w:rsidRDefault="00C91DFC" w:rsidP="001249B8">
            <w:pPr>
              <w:spacing w:line="360" w:lineRule="auto"/>
              <w:jc w:val="both"/>
              <w:rPr>
                <w:rFonts w:ascii="Arial" w:hAnsi="Arial" w:cs="Arial"/>
                <w:b/>
                <w:bCs/>
                <w:color w:val="000000"/>
              </w:rPr>
            </w:pPr>
            <w:r w:rsidRPr="00A732AC">
              <w:rPr>
                <w:rFonts w:ascii="Arial" w:hAnsi="Arial" w:cs="Arial"/>
                <w:b/>
                <w:bCs/>
                <w:color w:val="000000"/>
              </w:rPr>
              <w:t>Retention Period</w:t>
            </w:r>
          </w:p>
        </w:tc>
        <w:tc>
          <w:tcPr>
            <w:tcW w:w="2520" w:type="dxa"/>
            <w:tcBorders>
              <w:top w:val="single" w:sz="4" w:space="0" w:color="auto"/>
              <w:left w:val="single" w:sz="4" w:space="0" w:color="auto"/>
              <w:bottom w:val="single" w:sz="4" w:space="0" w:color="auto"/>
            </w:tcBorders>
          </w:tcPr>
          <w:p w:rsidR="00C91DFC" w:rsidRPr="00A732AC" w:rsidRDefault="00C91DFC" w:rsidP="00A0616F">
            <w:pPr>
              <w:spacing w:line="360" w:lineRule="auto"/>
              <w:rPr>
                <w:rFonts w:ascii="Arial" w:hAnsi="Arial" w:cs="Arial"/>
                <w:b/>
                <w:bCs/>
                <w:color w:val="000000"/>
              </w:rPr>
            </w:pPr>
            <w:r w:rsidRPr="00A732AC">
              <w:rPr>
                <w:rFonts w:ascii="Arial" w:hAnsi="Arial" w:cs="Arial"/>
                <w:b/>
                <w:bCs/>
                <w:color w:val="000000"/>
              </w:rPr>
              <w:t>Reduction per</w:t>
            </w:r>
            <w:r w:rsidR="00A0616F" w:rsidRPr="00A732AC">
              <w:rPr>
                <w:rFonts w:ascii="Arial" w:hAnsi="Arial" w:cs="Arial"/>
                <w:b/>
                <w:bCs/>
                <w:color w:val="000000"/>
              </w:rPr>
              <w:t xml:space="preserve"> annum </w:t>
            </w:r>
            <w:r w:rsidRPr="00A732AC">
              <w:rPr>
                <w:rFonts w:ascii="Arial" w:hAnsi="Arial" w:cs="Arial"/>
                <w:b/>
                <w:bCs/>
                <w:color w:val="000000"/>
              </w:rPr>
              <w:t>F1*</w:t>
            </w:r>
          </w:p>
        </w:tc>
      </w:tr>
      <w:tr w:rsidR="00C91DFC" w:rsidRPr="00A732AC" w:rsidTr="00C57616">
        <w:tc>
          <w:tcPr>
            <w:tcW w:w="3588" w:type="dxa"/>
            <w:tcBorders>
              <w:top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 xml:space="preserve">Funding a Profit-making organisation where the asset consists of land, real estate, plant or machinery.  </w:t>
            </w:r>
          </w:p>
        </w:tc>
        <w:tc>
          <w:tcPr>
            <w:tcW w:w="2640" w:type="dxa"/>
            <w:tcBorders>
              <w:top w:val="single" w:sz="4" w:space="0" w:color="auto"/>
              <w:left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Increased productivity / output.</w:t>
            </w:r>
          </w:p>
        </w:tc>
        <w:tc>
          <w:tcPr>
            <w:tcW w:w="1440" w:type="dxa"/>
            <w:tcBorders>
              <w:top w:val="single" w:sz="4" w:space="0" w:color="auto"/>
              <w:left w:val="single" w:sz="4" w:space="0" w:color="auto"/>
              <w:bottom w:val="single" w:sz="4" w:space="0" w:color="auto"/>
              <w:right w:val="single" w:sz="4" w:space="0" w:color="auto"/>
            </w:tcBorders>
          </w:tcPr>
          <w:p w:rsidR="00C91DFC" w:rsidRPr="00A732AC" w:rsidRDefault="00A0616F" w:rsidP="00A0616F">
            <w:pPr>
              <w:spacing w:line="360" w:lineRule="auto"/>
              <w:rPr>
                <w:rFonts w:ascii="Arial" w:hAnsi="Arial" w:cs="Arial"/>
                <w:color w:val="000000"/>
              </w:rPr>
            </w:pPr>
            <w:r w:rsidRPr="00A732AC">
              <w:rPr>
                <w:rFonts w:ascii="Arial" w:hAnsi="Arial" w:cs="Arial"/>
                <w:color w:val="000000"/>
              </w:rPr>
              <w:t>10 y</w:t>
            </w:r>
            <w:r w:rsidR="00C91DFC" w:rsidRPr="00A732AC">
              <w:rPr>
                <w:rFonts w:ascii="Arial" w:hAnsi="Arial" w:cs="Arial"/>
                <w:color w:val="000000"/>
              </w:rPr>
              <w:t>rs</w:t>
            </w:r>
          </w:p>
        </w:tc>
        <w:tc>
          <w:tcPr>
            <w:tcW w:w="2520" w:type="dxa"/>
            <w:tcBorders>
              <w:top w:val="single" w:sz="4" w:space="0" w:color="auto"/>
              <w:left w:val="single" w:sz="4" w:space="0" w:color="auto"/>
              <w:bottom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 xml:space="preserve">10% </w:t>
            </w:r>
          </w:p>
        </w:tc>
      </w:tr>
      <w:tr w:rsidR="00C91DFC" w:rsidRPr="00A732AC" w:rsidTr="00C57616">
        <w:tc>
          <w:tcPr>
            <w:tcW w:w="3588" w:type="dxa"/>
            <w:tcBorders>
              <w:top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Purchase or development of land.</w:t>
            </w:r>
          </w:p>
        </w:tc>
        <w:tc>
          <w:tcPr>
            <w:tcW w:w="2640" w:type="dxa"/>
            <w:tcBorders>
              <w:top w:val="single" w:sz="4" w:space="0" w:color="auto"/>
              <w:left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Sustainability</w:t>
            </w:r>
          </w:p>
        </w:tc>
        <w:tc>
          <w:tcPr>
            <w:tcW w:w="1440" w:type="dxa"/>
            <w:tcBorders>
              <w:top w:val="single" w:sz="4" w:space="0" w:color="auto"/>
              <w:left w:val="single" w:sz="4" w:space="0" w:color="auto"/>
              <w:bottom w:val="single" w:sz="4" w:space="0" w:color="auto"/>
              <w:right w:val="single" w:sz="4" w:space="0" w:color="auto"/>
            </w:tcBorders>
          </w:tcPr>
          <w:p w:rsidR="00C91DFC" w:rsidRPr="00A732AC" w:rsidRDefault="00A0616F" w:rsidP="00A0616F">
            <w:pPr>
              <w:spacing w:line="360" w:lineRule="auto"/>
              <w:rPr>
                <w:rFonts w:ascii="Arial" w:hAnsi="Arial" w:cs="Arial"/>
                <w:color w:val="000000"/>
              </w:rPr>
            </w:pPr>
            <w:r w:rsidRPr="00A732AC">
              <w:rPr>
                <w:rFonts w:ascii="Arial" w:hAnsi="Arial" w:cs="Arial"/>
                <w:color w:val="000000"/>
              </w:rPr>
              <w:t>10 y</w:t>
            </w:r>
            <w:r w:rsidR="00C91DFC" w:rsidRPr="00A732AC">
              <w:rPr>
                <w:rFonts w:ascii="Arial" w:hAnsi="Arial" w:cs="Arial"/>
                <w:color w:val="000000"/>
              </w:rPr>
              <w:t>rs</w:t>
            </w:r>
          </w:p>
        </w:tc>
        <w:tc>
          <w:tcPr>
            <w:tcW w:w="2520" w:type="dxa"/>
            <w:tcBorders>
              <w:top w:val="single" w:sz="4" w:space="0" w:color="auto"/>
              <w:left w:val="single" w:sz="4" w:space="0" w:color="auto"/>
              <w:bottom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10%</w:t>
            </w:r>
          </w:p>
        </w:tc>
      </w:tr>
      <w:tr w:rsidR="00C91DFC" w:rsidRPr="00A732AC" w:rsidTr="00C57616">
        <w:tc>
          <w:tcPr>
            <w:tcW w:w="3588" w:type="dxa"/>
            <w:tcBorders>
              <w:top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Purchase or development of Real estate.</w:t>
            </w:r>
          </w:p>
        </w:tc>
        <w:tc>
          <w:tcPr>
            <w:tcW w:w="2640" w:type="dxa"/>
            <w:tcBorders>
              <w:top w:val="single" w:sz="4" w:space="0" w:color="auto"/>
              <w:left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 xml:space="preserve">Sustainability </w:t>
            </w:r>
          </w:p>
        </w:tc>
        <w:tc>
          <w:tcPr>
            <w:tcW w:w="1440" w:type="dxa"/>
            <w:tcBorders>
              <w:top w:val="single" w:sz="4" w:space="0" w:color="auto"/>
              <w:left w:val="single" w:sz="4" w:space="0" w:color="auto"/>
              <w:bottom w:val="single" w:sz="4" w:space="0" w:color="auto"/>
              <w:right w:val="single" w:sz="4" w:space="0" w:color="auto"/>
            </w:tcBorders>
          </w:tcPr>
          <w:p w:rsidR="00C91DFC" w:rsidRPr="00A732AC" w:rsidRDefault="00A0616F" w:rsidP="00A0616F">
            <w:pPr>
              <w:spacing w:line="360" w:lineRule="auto"/>
              <w:rPr>
                <w:rFonts w:ascii="Arial" w:hAnsi="Arial" w:cs="Arial"/>
                <w:color w:val="000000"/>
              </w:rPr>
            </w:pPr>
            <w:r w:rsidRPr="00A732AC">
              <w:rPr>
                <w:rFonts w:ascii="Arial" w:hAnsi="Arial" w:cs="Arial"/>
                <w:color w:val="000000"/>
              </w:rPr>
              <w:t>10 y</w:t>
            </w:r>
            <w:r w:rsidR="00C91DFC" w:rsidRPr="00A732AC">
              <w:rPr>
                <w:rFonts w:ascii="Arial" w:hAnsi="Arial" w:cs="Arial"/>
                <w:color w:val="000000"/>
              </w:rPr>
              <w:t>rs</w:t>
            </w:r>
          </w:p>
        </w:tc>
        <w:tc>
          <w:tcPr>
            <w:tcW w:w="2520" w:type="dxa"/>
            <w:tcBorders>
              <w:top w:val="single" w:sz="4" w:space="0" w:color="auto"/>
              <w:left w:val="single" w:sz="4" w:space="0" w:color="auto"/>
              <w:bottom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10%</w:t>
            </w:r>
          </w:p>
        </w:tc>
      </w:tr>
      <w:tr w:rsidR="00C91DFC" w:rsidRPr="00A732AC" w:rsidTr="00C57616">
        <w:tc>
          <w:tcPr>
            <w:tcW w:w="3588" w:type="dxa"/>
            <w:tcBorders>
              <w:top w:val="single" w:sz="4" w:space="0" w:color="auto"/>
              <w:bottom w:val="single" w:sz="4" w:space="0" w:color="auto"/>
              <w:right w:val="single" w:sz="4" w:space="0" w:color="auto"/>
            </w:tcBorders>
          </w:tcPr>
          <w:p w:rsidR="00C91DFC" w:rsidRPr="00A732AC" w:rsidRDefault="00C91DFC" w:rsidP="00A72962">
            <w:pPr>
              <w:spacing w:line="360" w:lineRule="auto"/>
              <w:ind w:right="-108"/>
              <w:rPr>
                <w:rFonts w:ascii="Arial" w:hAnsi="Arial" w:cs="Arial"/>
                <w:color w:val="000000"/>
              </w:rPr>
            </w:pPr>
            <w:r w:rsidRPr="00A732AC">
              <w:rPr>
                <w:rFonts w:ascii="Arial" w:hAnsi="Arial" w:cs="Arial"/>
                <w:color w:val="000000"/>
              </w:rPr>
              <w:t>Purchase or development of land.</w:t>
            </w:r>
          </w:p>
        </w:tc>
        <w:tc>
          <w:tcPr>
            <w:tcW w:w="2640" w:type="dxa"/>
            <w:tcBorders>
              <w:top w:val="single" w:sz="4" w:space="0" w:color="auto"/>
              <w:left w:val="single" w:sz="4" w:space="0" w:color="auto"/>
              <w:bottom w:val="single" w:sz="4" w:space="0" w:color="auto"/>
              <w:right w:val="single" w:sz="4" w:space="0" w:color="auto"/>
            </w:tcBorders>
          </w:tcPr>
          <w:p w:rsidR="00C91DFC" w:rsidRPr="00A732AC" w:rsidRDefault="00C91DFC" w:rsidP="00A72962">
            <w:pPr>
              <w:spacing w:line="360" w:lineRule="auto"/>
              <w:ind w:right="-108"/>
              <w:rPr>
                <w:rFonts w:ascii="Arial" w:hAnsi="Arial" w:cs="Arial"/>
                <w:color w:val="000000"/>
              </w:rPr>
            </w:pPr>
            <w:r w:rsidRPr="00A732AC">
              <w:rPr>
                <w:rFonts w:ascii="Arial" w:hAnsi="Arial" w:cs="Arial"/>
                <w:color w:val="000000"/>
              </w:rPr>
              <w:t>Tourism, job creation, provision of childcare / social facilities.</w:t>
            </w:r>
          </w:p>
        </w:tc>
        <w:tc>
          <w:tcPr>
            <w:tcW w:w="1440" w:type="dxa"/>
            <w:tcBorders>
              <w:top w:val="single" w:sz="4" w:space="0" w:color="auto"/>
              <w:left w:val="single" w:sz="4" w:space="0" w:color="auto"/>
              <w:bottom w:val="single" w:sz="4" w:space="0" w:color="auto"/>
              <w:right w:val="single" w:sz="4" w:space="0" w:color="auto"/>
            </w:tcBorders>
          </w:tcPr>
          <w:p w:rsidR="00C91DFC" w:rsidRPr="00A732AC" w:rsidRDefault="00A0616F" w:rsidP="00A0616F">
            <w:pPr>
              <w:spacing w:line="360" w:lineRule="auto"/>
              <w:rPr>
                <w:rFonts w:ascii="Arial" w:hAnsi="Arial" w:cs="Arial"/>
                <w:color w:val="000000"/>
              </w:rPr>
            </w:pPr>
            <w:r w:rsidRPr="00A732AC">
              <w:rPr>
                <w:rFonts w:ascii="Arial" w:hAnsi="Arial" w:cs="Arial"/>
                <w:color w:val="000000"/>
              </w:rPr>
              <w:t>5 y</w:t>
            </w:r>
            <w:r w:rsidR="00C91DFC" w:rsidRPr="00A732AC">
              <w:rPr>
                <w:rFonts w:ascii="Arial" w:hAnsi="Arial" w:cs="Arial"/>
                <w:color w:val="000000"/>
              </w:rPr>
              <w:t>rs</w:t>
            </w:r>
          </w:p>
        </w:tc>
        <w:tc>
          <w:tcPr>
            <w:tcW w:w="2520" w:type="dxa"/>
            <w:tcBorders>
              <w:top w:val="single" w:sz="4" w:space="0" w:color="auto"/>
              <w:left w:val="single" w:sz="4" w:space="0" w:color="auto"/>
              <w:bottom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20%</w:t>
            </w:r>
          </w:p>
        </w:tc>
      </w:tr>
      <w:tr w:rsidR="00C91DFC" w:rsidRPr="00A732AC" w:rsidTr="00C57616">
        <w:tc>
          <w:tcPr>
            <w:tcW w:w="3588" w:type="dxa"/>
            <w:tcBorders>
              <w:top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Purchase or development of Real estate.</w:t>
            </w:r>
          </w:p>
        </w:tc>
        <w:tc>
          <w:tcPr>
            <w:tcW w:w="2640" w:type="dxa"/>
            <w:tcBorders>
              <w:top w:val="single" w:sz="4" w:space="0" w:color="auto"/>
              <w:left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Tourism, job creation, provision of childcare / social facilities.</w:t>
            </w:r>
          </w:p>
        </w:tc>
        <w:tc>
          <w:tcPr>
            <w:tcW w:w="1440" w:type="dxa"/>
            <w:tcBorders>
              <w:top w:val="single" w:sz="4" w:space="0" w:color="auto"/>
              <w:left w:val="single" w:sz="4" w:space="0" w:color="auto"/>
              <w:bottom w:val="single" w:sz="4" w:space="0" w:color="auto"/>
              <w:right w:val="single" w:sz="4" w:space="0" w:color="auto"/>
            </w:tcBorders>
          </w:tcPr>
          <w:p w:rsidR="00C91DFC" w:rsidRPr="00A732AC" w:rsidRDefault="00A0616F" w:rsidP="00A0616F">
            <w:pPr>
              <w:spacing w:line="360" w:lineRule="auto"/>
              <w:rPr>
                <w:rFonts w:ascii="Arial" w:hAnsi="Arial" w:cs="Arial"/>
                <w:color w:val="000000"/>
              </w:rPr>
            </w:pPr>
            <w:r w:rsidRPr="00A732AC">
              <w:rPr>
                <w:rFonts w:ascii="Arial" w:hAnsi="Arial" w:cs="Arial"/>
                <w:color w:val="000000"/>
              </w:rPr>
              <w:t>5 y</w:t>
            </w:r>
            <w:r w:rsidR="00C91DFC" w:rsidRPr="00A732AC">
              <w:rPr>
                <w:rFonts w:ascii="Arial" w:hAnsi="Arial" w:cs="Arial"/>
                <w:color w:val="000000"/>
              </w:rPr>
              <w:t>rs</w:t>
            </w:r>
          </w:p>
        </w:tc>
        <w:tc>
          <w:tcPr>
            <w:tcW w:w="2520" w:type="dxa"/>
            <w:tcBorders>
              <w:top w:val="single" w:sz="4" w:space="0" w:color="auto"/>
              <w:left w:val="single" w:sz="4" w:space="0" w:color="auto"/>
              <w:bottom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20%</w:t>
            </w:r>
          </w:p>
        </w:tc>
      </w:tr>
      <w:tr w:rsidR="00C91DFC" w:rsidRPr="00A732AC" w:rsidTr="00C57616">
        <w:tc>
          <w:tcPr>
            <w:tcW w:w="3588" w:type="dxa"/>
            <w:tcBorders>
              <w:top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 xml:space="preserve">Purchase of </w:t>
            </w:r>
            <w:r w:rsidR="00130E5F" w:rsidRPr="00A732AC">
              <w:rPr>
                <w:rFonts w:ascii="Arial" w:hAnsi="Arial" w:cs="Arial"/>
                <w:color w:val="000000"/>
              </w:rPr>
              <w:t>equipment/</w:t>
            </w:r>
            <w:r w:rsidRPr="00A732AC">
              <w:rPr>
                <w:rFonts w:ascii="Arial" w:hAnsi="Arial" w:cs="Arial"/>
                <w:color w:val="000000"/>
              </w:rPr>
              <w:t>machinery with value in excess of £10,000</w:t>
            </w:r>
          </w:p>
        </w:tc>
        <w:tc>
          <w:tcPr>
            <w:tcW w:w="2640" w:type="dxa"/>
            <w:tcBorders>
              <w:top w:val="single" w:sz="4" w:space="0" w:color="auto"/>
              <w:left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Increased productivity / output.</w:t>
            </w:r>
          </w:p>
        </w:tc>
        <w:tc>
          <w:tcPr>
            <w:tcW w:w="1440" w:type="dxa"/>
            <w:tcBorders>
              <w:top w:val="single" w:sz="4" w:space="0" w:color="auto"/>
              <w:left w:val="single" w:sz="4" w:space="0" w:color="auto"/>
              <w:bottom w:val="single" w:sz="4" w:space="0" w:color="auto"/>
              <w:right w:val="single" w:sz="4" w:space="0" w:color="auto"/>
            </w:tcBorders>
          </w:tcPr>
          <w:p w:rsidR="00C91DFC" w:rsidRPr="00A732AC" w:rsidRDefault="00A0616F" w:rsidP="00A0616F">
            <w:pPr>
              <w:spacing w:line="360" w:lineRule="auto"/>
              <w:rPr>
                <w:rFonts w:ascii="Arial" w:hAnsi="Arial" w:cs="Arial"/>
                <w:color w:val="000000"/>
              </w:rPr>
            </w:pPr>
            <w:r w:rsidRPr="00A732AC">
              <w:rPr>
                <w:rFonts w:ascii="Arial" w:hAnsi="Arial" w:cs="Arial"/>
                <w:color w:val="000000"/>
              </w:rPr>
              <w:t>5 y</w:t>
            </w:r>
            <w:r w:rsidR="00C91DFC" w:rsidRPr="00A732AC">
              <w:rPr>
                <w:rFonts w:ascii="Arial" w:hAnsi="Arial" w:cs="Arial"/>
                <w:color w:val="000000"/>
              </w:rPr>
              <w:t>rs</w:t>
            </w:r>
          </w:p>
        </w:tc>
        <w:tc>
          <w:tcPr>
            <w:tcW w:w="2520" w:type="dxa"/>
            <w:tcBorders>
              <w:top w:val="single" w:sz="4" w:space="0" w:color="auto"/>
              <w:left w:val="single" w:sz="4" w:space="0" w:color="auto"/>
              <w:bottom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20%</w:t>
            </w:r>
          </w:p>
        </w:tc>
      </w:tr>
      <w:tr w:rsidR="00C91DFC" w:rsidRPr="00A732AC" w:rsidTr="00C57616">
        <w:tc>
          <w:tcPr>
            <w:tcW w:w="3588" w:type="dxa"/>
            <w:tcBorders>
              <w:top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Purchase of equipment</w:t>
            </w:r>
            <w:r w:rsidR="00130E5F" w:rsidRPr="00A732AC">
              <w:rPr>
                <w:rFonts w:ascii="Arial" w:hAnsi="Arial" w:cs="Arial"/>
                <w:color w:val="000000"/>
              </w:rPr>
              <w:t>/machinery</w:t>
            </w:r>
            <w:r w:rsidRPr="00A732AC">
              <w:rPr>
                <w:rFonts w:ascii="Arial" w:hAnsi="Arial" w:cs="Arial"/>
                <w:color w:val="000000"/>
              </w:rPr>
              <w:t xml:space="preserve"> with value less than £5,000</w:t>
            </w:r>
            <w:r w:rsidR="00A72962" w:rsidRPr="00A732AC">
              <w:rPr>
                <w:rFonts w:ascii="Arial" w:hAnsi="Arial" w:cs="Arial"/>
                <w:color w:val="000000"/>
              </w:rPr>
              <w:t xml:space="preserve"> *</w:t>
            </w:r>
            <w:r w:rsidR="00A72962" w:rsidRPr="00A732AC">
              <w:rPr>
                <w:rFonts w:ascii="Arial" w:hAnsi="Arial" w:cs="Arial"/>
                <w:color w:val="000000"/>
                <w:vertAlign w:val="superscript"/>
              </w:rPr>
              <w:t>F1</w:t>
            </w:r>
          </w:p>
        </w:tc>
        <w:tc>
          <w:tcPr>
            <w:tcW w:w="2640" w:type="dxa"/>
            <w:tcBorders>
              <w:top w:val="single" w:sz="4" w:space="0" w:color="auto"/>
              <w:left w:val="single" w:sz="4" w:space="0" w:color="auto"/>
              <w:bottom w:val="single" w:sz="4" w:space="0" w:color="auto"/>
              <w:right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 xml:space="preserve">Training or general core running of the organisation. </w:t>
            </w:r>
          </w:p>
        </w:tc>
        <w:tc>
          <w:tcPr>
            <w:tcW w:w="1440" w:type="dxa"/>
            <w:tcBorders>
              <w:top w:val="single" w:sz="4" w:space="0" w:color="auto"/>
              <w:left w:val="single" w:sz="4" w:space="0" w:color="auto"/>
              <w:bottom w:val="single" w:sz="4" w:space="0" w:color="auto"/>
              <w:right w:val="single" w:sz="4" w:space="0" w:color="auto"/>
            </w:tcBorders>
          </w:tcPr>
          <w:p w:rsidR="00C91DFC" w:rsidRPr="00A732AC" w:rsidRDefault="00A0616F" w:rsidP="00A0616F">
            <w:pPr>
              <w:spacing w:line="360" w:lineRule="auto"/>
              <w:rPr>
                <w:rFonts w:ascii="Arial" w:hAnsi="Arial" w:cs="Arial"/>
                <w:color w:val="000000"/>
              </w:rPr>
            </w:pPr>
            <w:r w:rsidRPr="00A732AC">
              <w:rPr>
                <w:rFonts w:ascii="Arial" w:hAnsi="Arial" w:cs="Arial"/>
                <w:color w:val="000000"/>
              </w:rPr>
              <w:t>3 y</w:t>
            </w:r>
            <w:r w:rsidR="00C91DFC" w:rsidRPr="00A732AC">
              <w:rPr>
                <w:rFonts w:ascii="Arial" w:hAnsi="Arial" w:cs="Arial"/>
                <w:color w:val="000000"/>
              </w:rPr>
              <w:t>rs</w:t>
            </w:r>
          </w:p>
        </w:tc>
        <w:tc>
          <w:tcPr>
            <w:tcW w:w="2520" w:type="dxa"/>
            <w:tcBorders>
              <w:top w:val="single" w:sz="4" w:space="0" w:color="auto"/>
              <w:left w:val="single" w:sz="4" w:space="0" w:color="auto"/>
              <w:bottom w:val="single" w:sz="4" w:space="0" w:color="auto"/>
            </w:tcBorders>
          </w:tcPr>
          <w:p w:rsidR="00C91DFC" w:rsidRPr="00A732AC" w:rsidRDefault="00C91DFC" w:rsidP="00A0616F">
            <w:pPr>
              <w:spacing w:line="360" w:lineRule="auto"/>
              <w:rPr>
                <w:rFonts w:ascii="Arial" w:hAnsi="Arial" w:cs="Arial"/>
                <w:color w:val="000000"/>
              </w:rPr>
            </w:pPr>
            <w:r w:rsidRPr="00A732AC">
              <w:rPr>
                <w:rFonts w:ascii="Arial" w:hAnsi="Arial" w:cs="Arial"/>
                <w:color w:val="000000"/>
              </w:rPr>
              <w:t>Y</w:t>
            </w:r>
            <w:r w:rsidR="00C22EC8" w:rsidRPr="00A732AC">
              <w:rPr>
                <w:rFonts w:ascii="Arial" w:hAnsi="Arial" w:cs="Arial"/>
                <w:color w:val="000000"/>
              </w:rPr>
              <w:t>1</w:t>
            </w:r>
            <w:r w:rsidR="00C57616" w:rsidRPr="00A732AC">
              <w:rPr>
                <w:rFonts w:ascii="Arial" w:hAnsi="Arial" w:cs="Arial"/>
                <w:color w:val="000000"/>
              </w:rPr>
              <w:t xml:space="preserve"> (0-12mths) – 2</w:t>
            </w:r>
            <w:r w:rsidRPr="00A732AC">
              <w:rPr>
                <w:rFonts w:ascii="Arial" w:hAnsi="Arial" w:cs="Arial"/>
                <w:color w:val="000000"/>
              </w:rPr>
              <w:t>0%</w:t>
            </w:r>
          </w:p>
          <w:p w:rsidR="00C91DFC" w:rsidRPr="00A732AC" w:rsidRDefault="00C91DFC" w:rsidP="00A0616F">
            <w:pPr>
              <w:spacing w:line="360" w:lineRule="auto"/>
              <w:rPr>
                <w:rFonts w:ascii="Arial" w:hAnsi="Arial" w:cs="Arial"/>
                <w:color w:val="000000"/>
              </w:rPr>
            </w:pPr>
            <w:r w:rsidRPr="00A732AC">
              <w:rPr>
                <w:rFonts w:ascii="Arial" w:hAnsi="Arial" w:cs="Arial"/>
                <w:color w:val="000000"/>
              </w:rPr>
              <w:t>Y</w:t>
            </w:r>
            <w:r w:rsidR="00C22EC8" w:rsidRPr="00A732AC">
              <w:rPr>
                <w:rFonts w:ascii="Arial" w:hAnsi="Arial" w:cs="Arial"/>
                <w:color w:val="000000"/>
              </w:rPr>
              <w:t>2</w:t>
            </w:r>
            <w:r w:rsidR="00C57616" w:rsidRPr="00A732AC">
              <w:rPr>
                <w:rFonts w:ascii="Arial" w:hAnsi="Arial" w:cs="Arial"/>
                <w:color w:val="000000"/>
              </w:rPr>
              <w:t xml:space="preserve"> – 5</w:t>
            </w:r>
            <w:r w:rsidRPr="00A732AC">
              <w:rPr>
                <w:rFonts w:ascii="Arial" w:hAnsi="Arial" w:cs="Arial"/>
                <w:color w:val="000000"/>
              </w:rPr>
              <w:t>0%</w:t>
            </w:r>
          </w:p>
          <w:p w:rsidR="00C91DFC" w:rsidRPr="00A732AC" w:rsidRDefault="00C91DFC" w:rsidP="00A0616F">
            <w:pPr>
              <w:spacing w:line="360" w:lineRule="auto"/>
              <w:rPr>
                <w:rFonts w:ascii="Arial" w:hAnsi="Arial" w:cs="Arial"/>
                <w:color w:val="000000"/>
              </w:rPr>
            </w:pPr>
            <w:r w:rsidRPr="00A732AC">
              <w:rPr>
                <w:rFonts w:ascii="Arial" w:hAnsi="Arial" w:cs="Arial"/>
                <w:color w:val="000000"/>
              </w:rPr>
              <w:t>Y</w:t>
            </w:r>
            <w:r w:rsidR="00C22EC8" w:rsidRPr="00A732AC">
              <w:rPr>
                <w:rFonts w:ascii="Arial" w:hAnsi="Arial" w:cs="Arial"/>
                <w:color w:val="000000"/>
              </w:rPr>
              <w:t>3</w:t>
            </w:r>
            <w:r w:rsidR="00851423" w:rsidRPr="00A732AC">
              <w:rPr>
                <w:rFonts w:ascii="Arial" w:hAnsi="Arial" w:cs="Arial"/>
                <w:color w:val="000000"/>
              </w:rPr>
              <w:t xml:space="preserve"> – 8</w:t>
            </w:r>
            <w:r w:rsidRPr="00A732AC">
              <w:rPr>
                <w:rFonts w:ascii="Arial" w:hAnsi="Arial" w:cs="Arial"/>
                <w:color w:val="000000"/>
              </w:rPr>
              <w:t>0%</w:t>
            </w:r>
          </w:p>
        </w:tc>
      </w:tr>
    </w:tbl>
    <w:p w:rsidR="000B4124" w:rsidRPr="00C57616" w:rsidRDefault="00C91DFC" w:rsidP="00C57616">
      <w:pPr>
        <w:spacing w:line="360" w:lineRule="auto"/>
        <w:ind w:left="-120" w:right="-650"/>
        <w:rPr>
          <w:rFonts w:ascii="Arial" w:hAnsi="Arial" w:cs="Arial"/>
          <w:sz w:val="20"/>
          <w:szCs w:val="20"/>
        </w:rPr>
      </w:pPr>
      <w:r w:rsidRPr="00C57616">
        <w:rPr>
          <w:rFonts w:ascii="Arial" w:hAnsi="Arial" w:cs="Arial"/>
          <w:b/>
          <w:bCs/>
          <w:sz w:val="20"/>
          <w:szCs w:val="20"/>
        </w:rPr>
        <w:t>* Footnote 1:</w:t>
      </w:r>
      <w:r w:rsidR="00A72962" w:rsidRPr="00C57616">
        <w:rPr>
          <w:rFonts w:ascii="Arial" w:hAnsi="Arial" w:cs="Arial"/>
          <w:sz w:val="20"/>
          <w:szCs w:val="20"/>
        </w:rPr>
        <w:t xml:space="preserve"> </w:t>
      </w:r>
      <w:r w:rsidRPr="00C57616">
        <w:rPr>
          <w:rFonts w:ascii="Arial" w:hAnsi="Arial" w:cs="Arial"/>
          <w:sz w:val="20"/>
          <w:szCs w:val="20"/>
        </w:rPr>
        <w:t>The annual reduction in value of an asset is expressed as a percent</w:t>
      </w:r>
      <w:r w:rsidR="00A72962" w:rsidRPr="00C57616">
        <w:rPr>
          <w:rFonts w:ascii="Arial" w:hAnsi="Arial" w:cs="Arial"/>
          <w:sz w:val="20"/>
          <w:szCs w:val="20"/>
        </w:rPr>
        <w:t>age of the original total cost.</w:t>
      </w:r>
    </w:p>
    <w:sectPr w:rsidR="000B4124" w:rsidRPr="00C57616" w:rsidSect="00916968">
      <w:pgSz w:w="11906" w:h="16838" w:code="9"/>
      <w:pgMar w:top="709"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AC" w:rsidRDefault="00A732AC">
      <w:r>
        <w:separator/>
      </w:r>
    </w:p>
  </w:endnote>
  <w:endnote w:type="continuationSeparator" w:id="0">
    <w:p w:rsidR="00A732AC" w:rsidRDefault="00A732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AC" w:rsidRDefault="00A732AC">
      <w:r>
        <w:separator/>
      </w:r>
    </w:p>
  </w:footnote>
  <w:footnote w:type="continuationSeparator" w:id="0">
    <w:p w:rsidR="00A732AC" w:rsidRDefault="00A73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80F13C"/>
    <w:lvl w:ilvl="0">
      <w:numFmt w:val="bullet"/>
      <w:lvlText w:val="*"/>
      <w:lvlJc w:val="left"/>
    </w:lvl>
  </w:abstractNum>
  <w:abstractNum w:abstractNumId="1">
    <w:nsid w:val="451753DC"/>
    <w:multiLevelType w:val="hybridMultilevel"/>
    <w:tmpl w:val="B0342990"/>
    <w:lvl w:ilvl="0" w:tplc="9AD8DD76">
      <w:start w:val="30"/>
      <w:numFmt w:val="decimal"/>
      <w:pStyle w:val="Numpara"/>
      <w:lvlText w:val="%1."/>
      <w:lvlJc w:val="left"/>
      <w:pPr>
        <w:tabs>
          <w:tab w:val="num" w:pos="851"/>
        </w:tabs>
        <w:ind w:left="851" w:hanging="851"/>
      </w:pPr>
      <w:rPr>
        <w:rFonts w:ascii="Arial" w:hAnsi="Arial"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4E7EF1"/>
    <w:multiLevelType w:val="hybridMultilevel"/>
    <w:tmpl w:val="864446E2"/>
    <w:name w:val="seq12"/>
    <w:lvl w:ilvl="0" w:tplc="AEE64A94">
      <w:start w:val="5"/>
      <w:numFmt w:val="decimal"/>
      <w:lvlText w:val="%1."/>
      <w:lvlJc w:val="left"/>
      <w:pPr>
        <w:tabs>
          <w:tab w:val="num" w:pos="2831"/>
        </w:tabs>
        <w:ind w:left="2831" w:hanging="851"/>
      </w:pPr>
      <w:rPr>
        <w:rFonts w:ascii="Arial" w:hAnsi="Arial"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7E5A75"/>
    <w:multiLevelType w:val="multilevel"/>
    <w:tmpl w:val="2B9A053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lvl w:ilvl="0">
        <w:numFmt w:val="bullet"/>
        <w:lvlText w:val=""/>
        <w:legacy w:legacy="1" w:legacySpace="0" w:legacyIndent="284"/>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4B5F"/>
    <w:rsid w:val="00005287"/>
    <w:rsid w:val="00033336"/>
    <w:rsid w:val="000759B2"/>
    <w:rsid w:val="000831EB"/>
    <w:rsid w:val="000845E1"/>
    <w:rsid w:val="000B4124"/>
    <w:rsid w:val="000B7D30"/>
    <w:rsid w:val="000C7DDA"/>
    <w:rsid w:val="000D680B"/>
    <w:rsid w:val="0010154B"/>
    <w:rsid w:val="001249B8"/>
    <w:rsid w:val="00130E5F"/>
    <w:rsid w:val="001420A1"/>
    <w:rsid w:val="00151BF2"/>
    <w:rsid w:val="00172955"/>
    <w:rsid w:val="00185AF8"/>
    <w:rsid w:val="001D6EE6"/>
    <w:rsid w:val="00211F37"/>
    <w:rsid w:val="002260B2"/>
    <w:rsid w:val="00260CAF"/>
    <w:rsid w:val="00261FB6"/>
    <w:rsid w:val="00282AD2"/>
    <w:rsid w:val="00286B28"/>
    <w:rsid w:val="00290624"/>
    <w:rsid w:val="0031705B"/>
    <w:rsid w:val="00326127"/>
    <w:rsid w:val="00372FA8"/>
    <w:rsid w:val="00374C5B"/>
    <w:rsid w:val="003808F7"/>
    <w:rsid w:val="003D7E9B"/>
    <w:rsid w:val="003E13CE"/>
    <w:rsid w:val="003E7F7A"/>
    <w:rsid w:val="004106C9"/>
    <w:rsid w:val="00430A4F"/>
    <w:rsid w:val="0045093A"/>
    <w:rsid w:val="004550D7"/>
    <w:rsid w:val="00462808"/>
    <w:rsid w:val="00482B06"/>
    <w:rsid w:val="00493F2D"/>
    <w:rsid w:val="00494C7C"/>
    <w:rsid w:val="004A2091"/>
    <w:rsid w:val="004B3877"/>
    <w:rsid w:val="004D715B"/>
    <w:rsid w:val="0050469B"/>
    <w:rsid w:val="005054AE"/>
    <w:rsid w:val="00516335"/>
    <w:rsid w:val="00546888"/>
    <w:rsid w:val="00551FEF"/>
    <w:rsid w:val="0055452D"/>
    <w:rsid w:val="00560102"/>
    <w:rsid w:val="0057324A"/>
    <w:rsid w:val="00581401"/>
    <w:rsid w:val="00591481"/>
    <w:rsid w:val="00593D37"/>
    <w:rsid w:val="005A4F24"/>
    <w:rsid w:val="005C49DC"/>
    <w:rsid w:val="005D133E"/>
    <w:rsid w:val="005D43F1"/>
    <w:rsid w:val="005E3C52"/>
    <w:rsid w:val="005E72BD"/>
    <w:rsid w:val="005F0E50"/>
    <w:rsid w:val="005F1FE0"/>
    <w:rsid w:val="005F5DAC"/>
    <w:rsid w:val="00601948"/>
    <w:rsid w:val="006867B2"/>
    <w:rsid w:val="00694B1C"/>
    <w:rsid w:val="006A3125"/>
    <w:rsid w:val="007267D1"/>
    <w:rsid w:val="00733F86"/>
    <w:rsid w:val="00750DF1"/>
    <w:rsid w:val="007541D1"/>
    <w:rsid w:val="00757E08"/>
    <w:rsid w:val="00770D0E"/>
    <w:rsid w:val="00787741"/>
    <w:rsid w:val="007B645C"/>
    <w:rsid w:val="007C1FCE"/>
    <w:rsid w:val="007C5A7A"/>
    <w:rsid w:val="007E1D3B"/>
    <w:rsid w:val="007E544D"/>
    <w:rsid w:val="007F7B34"/>
    <w:rsid w:val="00801615"/>
    <w:rsid w:val="00803171"/>
    <w:rsid w:val="008101E1"/>
    <w:rsid w:val="0083291D"/>
    <w:rsid w:val="0084533B"/>
    <w:rsid w:val="00851423"/>
    <w:rsid w:val="008655E7"/>
    <w:rsid w:val="00870879"/>
    <w:rsid w:val="008728F0"/>
    <w:rsid w:val="00874E81"/>
    <w:rsid w:val="00886F9F"/>
    <w:rsid w:val="008A3A71"/>
    <w:rsid w:val="008A7588"/>
    <w:rsid w:val="008C42C2"/>
    <w:rsid w:val="008E6B0E"/>
    <w:rsid w:val="008E7DAB"/>
    <w:rsid w:val="009039B5"/>
    <w:rsid w:val="00905C9B"/>
    <w:rsid w:val="00910F89"/>
    <w:rsid w:val="00916968"/>
    <w:rsid w:val="009353CB"/>
    <w:rsid w:val="0098196E"/>
    <w:rsid w:val="009A0FC8"/>
    <w:rsid w:val="009B081E"/>
    <w:rsid w:val="009B178F"/>
    <w:rsid w:val="009F02DE"/>
    <w:rsid w:val="009F131C"/>
    <w:rsid w:val="00A0616F"/>
    <w:rsid w:val="00A11C6B"/>
    <w:rsid w:val="00A27666"/>
    <w:rsid w:val="00A631B7"/>
    <w:rsid w:val="00A66D59"/>
    <w:rsid w:val="00A7019A"/>
    <w:rsid w:val="00A72962"/>
    <w:rsid w:val="00A732AC"/>
    <w:rsid w:val="00A73B1B"/>
    <w:rsid w:val="00A75367"/>
    <w:rsid w:val="00A84B5F"/>
    <w:rsid w:val="00A95B06"/>
    <w:rsid w:val="00AC1C3E"/>
    <w:rsid w:val="00AC5CD6"/>
    <w:rsid w:val="00AD089E"/>
    <w:rsid w:val="00AE4B32"/>
    <w:rsid w:val="00AF7036"/>
    <w:rsid w:val="00B00474"/>
    <w:rsid w:val="00B1081C"/>
    <w:rsid w:val="00B306B0"/>
    <w:rsid w:val="00B32A2A"/>
    <w:rsid w:val="00B4300A"/>
    <w:rsid w:val="00B437B3"/>
    <w:rsid w:val="00B439BC"/>
    <w:rsid w:val="00BA50A6"/>
    <w:rsid w:val="00BD3E1C"/>
    <w:rsid w:val="00C05E81"/>
    <w:rsid w:val="00C21609"/>
    <w:rsid w:val="00C22EC8"/>
    <w:rsid w:val="00C25637"/>
    <w:rsid w:val="00C27B98"/>
    <w:rsid w:val="00C57616"/>
    <w:rsid w:val="00C823AE"/>
    <w:rsid w:val="00C844DB"/>
    <w:rsid w:val="00C91DA8"/>
    <w:rsid w:val="00C91DFC"/>
    <w:rsid w:val="00CA178C"/>
    <w:rsid w:val="00CA1D74"/>
    <w:rsid w:val="00CD1502"/>
    <w:rsid w:val="00CD22B1"/>
    <w:rsid w:val="00CD61F1"/>
    <w:rsid w:val="00CE1857"/>
    <w:rsid w:val="00D16127"/>
    <w:rsid w:val="00D26ACD"/>
    <w:rsid w:val="00D42C36"/>
    <w:rsid w:val="00D50513"/>
    <w:rsid w:val="00D52452"/>
    <w:rsid w:val="00D92754"/>
    <w:rsid w:val="00DD06F4"/>
    <w:rsid w:val="00DD7C11"/>
    <w:rsid w:val="00DE18B8"/>
    <w:rsid w:val="00DE20A5"/>
    <w:rsid w:val="00DF45C5"/>
    <w:rsid w:val="00E050DB"/>
    <w:rsid w:val="00E060A5"/>
    <w:rsid w:val="00E25BB7"/>
    <w:rsid w:val="00E27BA8"/>
    <w:rsid w:val="00E3645C"/>
    <w:rsid w:val="00E41F46"/>
    <w:rsid w:val="00E55D9D"/>
    <w:rsid w:val="00E55DEA"/>
    <w:rsid w:val="00E93280"/>
    <w:rsid w:val="00EA1A16"/>
    <w:rsid w:val="00EA38B4"/>
    <w:rsid w:val="00EB34D8"/>
    <w:rsid w:val="00EC03AF"/>
    <w:rsid w:val="00EC0C54"/>
    <w:rsid w:val="00ED7E6B"/>
    <w:rsid w:val="00F17F3B"/>
    <w:rsid w:val="00F22D2F"/>
    <w:rsid w:val="00F42598"/>
    <w:rsid w:val="00F50984"/>
    <w:rsid w:val="00F62C20"/>
    <w:rsid w:val="00F76C48"/>
    <w:rsid w:val="00F948C6"/>
    <w:rsid w:val="00FA7445"/>
    <w:rsid w:val="00FC7F75"/>
    <w:rsid w:val="00FF2129"/>
    <w:rsid w:val="00FF31A7"/>
    <w:rsid w:val="00FF3A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03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4550D7"/>
    <w:pPr>
      <w:keepNext/>
      <w:outlineLvl w:val="0"/>
    </w:pPr>
    <w:rPr>
      <w:sz w:val="34"/>
      <w:szCs w:val="20"/>
    </w:rPr>
  </w:style>
  <w:style w:type="paragraph" w:styleId="Heading2">
    <w:name w:val="heading 2"/>
    <w:basedOn w:val="Normal"/>
    <w:next w:val="Normal"/>
    <w:qFormat/>
    <w:rsid w:val="004550D7"/>
    <w:pPr>
      <w:keepNext/>
      <w:autoSpaceDE w:val="0"/>
      <w:autoSpaceDN w:val="0"/>
      <w:adjustRightInd w:val="0"/>
      <w:jc w:val="both"/>
      <w:outlineLvl w:val="1"/>
    </w:pPr>
    <w:rPr>
      <w:rFonts w:ascii="Arial,Bold" w:hAnsi="Arial,Bold"/>
      <w:b/>
      <w:bCs/>
      <w:i/>
      <w:iCs/>
      <w:color w:val="000000"/>
      <w:szCs w:val="20"/>
      <w:lang w:val="en-US"/>
    </w:rPr>
  </w:style>
  <w:style w:type="paragraph" w:styleId="Heading3">
    <w:name w:val="heading 3"/>
    <w:basedOn w:val="Normal"/>
    <w:next w:val="Normal"/>
    <w:qFormat/>
    <w:rsid w:val="004550D7"/>
    <w:pPr>
      <w:keepNext/>
      <w:autoSpaceDE w:val="0"/>
      <w:autoSpaceDN w:val="0"/>
      <w:adjustRightInd w:val="0"/>
      <w:jc w:val="both"/>
      <w:outlineLvl w:val="2"/>
    </w:pPr>
    <w:rPr>
      <w:rFonts w:ascii="Arial,Bold" w:hAnsi="Arial,Bold"/>
      <w:b/>
      <w:bCs/>
      <w:color w:val="000000"/>
      <w:szCs w:val="20"/>
      <w:lang w:val="en-US"/>
    </w:rPr>
  </w:style>
  <w:style w:type="paragraph" w:styleId="Heading5">
    <w:name w:val="heading 5"/>
    <w:basedOn w:val="Normal"/>
    <w:next w:val="Normal"/>
    <w:qFormat/>
    <w:rsid w:val="004550D7"/>
    <w:pPr>
      <w:keepNext/>
      <w:autoSpaceDE w:val="0"/>
      <w:autoSpaceDN w:val="0"/>
      <w:adjustRightInd w:val="0"/>
      <w:jc w:val="both"/>
      <w:outlineLvl w:val="4"/>
    </w:pPr>
    <w:rPr>
      <w:rFonts w:ascii="Arial" w:hAnsi="Arial"/>
      <w:b/>
      <w:bCs/>
      <w:szCs w:val="20"/>
    </w:rPr>
  </w:style>
  <w:style w:type="paragraph" w:styleId="Heading6">
    <w:name w:val="heading 6"/>
    <w:basedOn w:val="Normal"/>
    <w:next w:val="Normal"/>
    <w:qFormat/>
    <w:rsid w:val="004550D7"/>
    <w:pPr>
      <w:keepNext/>
      <w:autoSpaceDE w:val="0"/>
      <w:autoSpaceDN w:val="0"/>
      <w:adjustRightInd w:val="0"/>
      <w:spacing w:before="120" w:line="360" w:lineRule="auto"/>
      <w:jc w:val="both"/>
      <w:outlineLvl w:val="5"/>
    </w:pPr>
    <w:rPr>
      <w:rFonts w:ascii="Arial" w:hAnsi="Arial" w:cs="Arial"/>
      <w:color w:val="000000"/>
      <w:szCs w:val="20"/>
      <w:lang w:val="en-US"/>
    </w:rPr>
  </w:style>
  <w:style w:type="character" w:default="1" w:styleId="DefaultParagraphFont">
    <w:name w:val="Default Paragraph Font"/>
    <w:uiPriority w:val="1"/>
    <w:semiHidden/>
    <w:unhideWhenUsed/>
    <w:rsid w:val="00AF703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F7036"/>
  </w:style>
  <w:style w:type="paragraph" w:customStyle="1" w:styleId="Numpara">
    <w:name w:val="Numpara"/>
    <w:basedOn w:val="Normal"/>
    <w:rsid w:val="00B306B0"/>
    <w:pPr>
      <w:numPr>
        <w:numId w:val="1"/>
      </w:numPr>
      <w:spacing w:before="40" w:after="120"/>
    </w:pPr>
    <w:rPr>
      <w:rFonts w:ascii="Arial" w:hAnsi="Arial" w:cs="Arial"/>
    </w:rPr>
  </w:style>
  <w:style w:type="paragraph" w:customStyle="1" w:styleId="sectiontitle">
    <w:name w:val="sectiontitle"/>
    <w:basedOn w:val="Normal"/>
    <w:rsid w:val="00B306B0"/>
    <w:pPr>
      <w:keepNext/>
      <w:spacing w:before="240"/>
    </w:pPr>
    <w:rPr>
      <w:rFonts w:ascii="Arial" w:hAnsi="Arial" w:cs="Arial"/>
      <w:b/>
      <w:bCs/>
      <w:color w:val="000000"/>
      <w:sz w:val="28"/>
      <w:szCs w:val="28"/>
    </w:rPr>
  </w:style>
  <w:style w:type="paragraph" w:customStyle="1" w:styleId="subheading">
    <w:name w:val="subheading"/>
    <w:basedOn w:val="Normal"/>
    <w:rsid w:val="00B306B0"/>
    <w:pPr>
      <w:keepNext/>
      <w:spacing w:before="240"/>
    </w:pPr>
    <w:rPr>
      <w:rFonts w:ascii="Arial" w:hAnsi="Arial" w:cs="Arial"/>
      <w:b/>
      <w:bCs/>
      <w:color w:val="000000"/>
    </w:rPr>
  </w:style>
  <w:style w:type="character" w:customStyle="1" w:styleId="subsectionno">
    <w:name w:val="subsectionno"/>
    <w:basedOn w:val="DefaultParagraphFont"/>
    <w:rsid w:val="00B306B0"/>
    <w:rPr>
      <w:rFonts w:ascii="Times New Roman" w:hAnsi="Times New Roman"/>
      <w:noProof w:val="0"/>
      <w:effect w:val="none"/>
      <w:lang w:val="en-GB"/>
    </w:rPr>
  </w:style>
  <w:style w:type="character" w:customStyle="1" w:styleId="italictext">
    <w:name w:val="italictext"/>
    <w:basedOn w:val="DefaultParagraphFont"/>
    <w:rsid w:val="00B306B0"/>
    <w:rPr>
      <w:i/>
      <w:iCs/>
      <w:noProof w:val="0"/>
      <w:effect w:val="none"/>
      <w:lang w:val="en-GB"/>
    </w:rPr>
  </w:style>
  <w:style w:type="paragraph" w:customStyle="1" w:styleId="subsection">
    <w:name w:val="subsection"/>
    <w:basedOn w:val="Normal"/>
    <w:rsid w:val="00B306B0"/>
    <w:pPr>
      <w:spacing w:before="240"/>
      <w:ind w:left="720" w:hanging="720"/>
      <w:jc w:val="both"/>
    </w:pPr>
    <w:rPr>
      <w:color w:val="000000"/>
      <w:sz w:val="20"/>
      <w:szCs w:val="20"/>
    </w:rPr>
  </w:style>
  <w:style w:type="character" w:styleId="FootnoteReference">
    <w:name w:val="footnote reference"/>
    <w:basedOn w:val="DefaultParagraphFont"/>
    <w:semiHidden/>
    <w:rsid w:val="00B306B0"/>
    <w:rPr>
      <w:vertAlign w:val="superscript"/>
    </w:rPr>
  </w:style>
  <w:style w:type="paragraph" w:customStyle="1" w:styleId="subsubsection">
    <w:name w:val="subsubsection"/>
    <w:basedOn w:val="Normal"/>
    <w:rsid w:val="00B306B0"/>
    <w:pPr>
      <w:spacing w:before="240"/>
      <w:ind w:left="1440" w:hanging="720"/>
      <w:jc w:val="both"/>
    </w:pPr>
    <w:rPr>
      <w:rFonts w:ascii="Arial" w:hAnsi="Arial" w:cs="Arial"/>
      <w:color w:val="000000"/>
      <w:sz w:val="18"/>
      <w:szCs w:val="18"/>
    </w:rPr>
  </w:style>
  <w:style w:type="character" w:customStyle="1" w:styleId="intlinktext">
    <w:name w:val="intlinktext"/>
    <w:basedOn w:val="DefaultParagraphFont"/>
    <w:rsid w:val="00B306B0"/>
    <w:rPr>
      <w:noProof w:val="0"/>
      <w:u w:val="dotted"/>
      <w:effect w:val="none"/>
      <w:lang w:val="en-GB"/>
    </w:rPr>
  </w:style>
  <w:style w:type="character" w:customStyle="1" w:styleId="subsubsectionno">
    <w:name w:val="subsubsectionno"/>
    <w:basedOn w:val="DefaultParagraphFont"/>
    <w:rsid w:val="00B306B0"/>
    <w:rPr>
      <w:b/>
      <w:bCs/>
      <w:noProof w:val="0"/>
      <w:effect w:val="none"/>
      <w:lang w:val="en-GB"/>
    </w:rPr>
  </w:style>
  <w:style w:type="character" w:customStyle="1" w:styleId="italicintlinktext">
    <w:name w:val="italicintlinktext"/>
    <w:basedOn w:val="intlinktext"/>
    <w:rsid w:val="00B306B0"/>
    <w:rPr>
      <w:i/>
      <w:iCs/>
    </w:rPr>
  </w:style>
  <w:style w:type="paragraph" w:customStyle="1" w:styleId="annexheading">
    <w:name w:val="annexheading"/>
    <w:basedOn w:val="Normal"/>
    <w:rsid w:val="00B306B0"/>
    <w:pPr>
      <w:pageBreakBefore/>
      <w:spacing w:after="480"/>
    </w:pPr>
    <w:rPr>
      <w:rFonts w:ascii="Arial" w:hAnsi="Arial" w:cs="Arial"/>
      <w:b/>
      <w:bCs/>
      <w:color w:val="FF0000"/>
      <w:sz w:val="36"/>
      <w:szCs w:val="36"/>
    </w:rPr>
  </w:style>
  <w:style w:type="paragraph" w:customStyle="1" w:styleId="annexheadingtitle">
    <w:name w:val="annexheadingtitle"/>
    <w:basedOn w:val="Normal"/>
    <w:rsid w:val="00B306B0"/>
    <w:pPr>
      <w:spacing w:after="480"/>
    </w:pPr>
    <w:rPr>
      <w:rFonts w:ascii="Arial" w:hAnsi="Arial" w:cs="Arial"/>
      <w:b/>
      <w:bCs/>
      <w:color w:val="000000"/>
      <w:sz w:val="36"/>
      <w:szCs w:val="36"/>
    </w:rPr>
  </w:style>
  <w:style w:type="character" w:customStyle="1" w:styleId="subsubsubsectionno">
    <w:name w:val="subsubsubsectionno"/>
    <w:basedOn w:val="DefaultParagraphFont"/>
    <w:rsid w:val="00B306B0"/>
    <w:rPr>
      <w:rFonts w:ascii="Times New Roman" w:hAnsi="Times New Roman"/>
      <w:noProof w:val="0"/>
      <w:effect w:val="none"/>
      <w:lang w:val="en-GB"/>
    </w:rPr>
  </w:style>
  <w:style w:type="paragraph" w:customStyle="1" w:styleId="subsubsubsection">
    <w:name w:val="subsubsubsection"/>
    <w:basedOn w:val="Normal"/>
    <w:rsid w:val="00B306B0"/>
    <w:pPr>
      <w:spacing w:before="240"/>
      <w:ind w:left="2160" w:hanging="720"/>
      <w:jc w:val="both"/>
    </w:pPr>
    <w:rPr>
      <w:rFonts w:ascii="Arial" w:hAnsi="Arial" w:cs="Arial"/>
      <w:color w:val="000000"/>
      <w:sz w:val="18"/>
      <w:szCs w:val="18"/>
    </w:rPr>
  </w:style>
  <w:style w:type="paragraph" w:customStyle="1" w:styleId="annexsectionheading">
    <w:name w:val="annexsectionheading"/>
    <w:basedOn w:val="Normal"/>
    <w:rsid w:val="00B306B0"/>
    <w:pPr>
      <w:keepNext/>
      <w:spacing w:before="240"/>
    </w:pPr>
    <w:rPr>
      <w:rFonts w:ascii="Arial" w:hAnsi="Arial" w:cs="Arial"/>
      <w:b/>
      <w:bCs/>
      <w:color w:val="000000"/>
    </w:rPr>
  </w:style>
  <w:style w:type="character" w:customStyle="1" w:styleId="boldtext">
    <w:name w:val="boldtext"/>
    <w:basedOn w:val="DefaultParagraphFont"/>
    <w:rsid w:val="00B306B0"/>
    <w:rPr>
      <w:b/>
      <w:bCs/>
      <w:noProof w:val="0"/>
      <w:effect w:val="none"/>
      <w:lang w:val="en-GB"/>
    </w:rPr>
  </w:style>
  <w:style w:type="paragraph" w:customStyle="1" w:styleId="annexsubsectionheading">
    <w:name w:val="annexsubsectionheading"/>
    <w:basedOn w:val="Normal"/>
    <w:rsid w:val="00B306B0"/>
    <w:pPr>
      <w:keepNext/>
      <w:spacing w:before="240"/>
    </w:pPr>
    <w:rPr>
      <w:rFonts w:ascii="Arial" w:hAnsi="Arial" w:cs="Arial"/>
      <w:i/>
      <w:iCs/>
      <w:color w:val="000000"/>
    </w:rPr>
  </w:style>
  <w:style w:type="paragraph" w:customStyle="1" w:styleId="bodytext">
    <w:name w:val="bodytext"/>
    <w:basedOn w:val="Normal"/>
    <w:rsid w:val="00B306B0"/>
    <w:pPr>
      <w:spacing w:before="240"/>
      <w:jc w:val="both"/>
    </w:pPr>
    <w:rPr>
      <w:color w:val="000000"/>
      <w:sz w:val="20"/>
      <w:szCs w:val="20"/>
    </w:rPr>
  </w:style>
  <w:style w:type="paragraph" w:styleId="BodyText0">
    <w:name w:val="Body Text"/>
    <w:basedOn w:val="Normal"/>
    <w:rsid w:val="00B306B0"/>
    <w:rPr>
      <w:rFonts w:ascii="Helvetica" w:hAnsi="Helvetica" w:cs="Helvetica"/>
      <w:sz w:val="20"/>
    </w:rPr>
  </w:style>
  <w:style w:type="paragraph" w:styleId="BalloonText">
    <w:name w:val="Balloon Text"/>
    <w:basedOn w:val="Normal"/>
    <w:semiHidden/>
    <w:rsid w:val="00B306B0"/>
    <w:rPr>
      <w:rFonts w:ascii="Tahoma" w:hAnsi="Tahoma" w:cs="Tahoma"/>
      <w:sz w:val="16"/>
      <w:szCs w:val="16"/>
    </w:rPr>
  </w:style>
  <w:style w:type="paragraph" w:styleId="BodyTextIndent">
    <w:name w:val="Body Text Indent"/>
    <w:basedOn w:val="Normal"/>
    <w:rsid w:val="004550D7"/>
    <w:pPr>
      <w:spacing w:after="120"/>
      <w:ind w:left="283"/>
    </w:pPr>
  </w:style>
  <w:style w:type="paragraph" w:styleId="BodyTextIndent2">
    <w:name w:val="Body Text Indent 2"/>
    <w:basedOn w:val="Normal"/>
    <w:rsid w:val="004550D7"/>
    <w:pPr>
      <w:spacing w:after="120" w:line="480" w:lineRule="auto"/>
      <w:ind w:left="283"/>
    </w:pPr>
  </w:style>
  <w:style w:type="paragraph" w:styleId="BodyTextIndent3">
    <w:name w:val="Body Text Indent 3"/>
    <w:basedOn w:val="Normal"/>
    <w:rsid w:val="004550D7"/>
    <w:pPr>
      <w:spacing w:after="120"/>
      <w:ind w:left="283"/>
    </w:pPr>
    <w:rPr>
      <w:sz w:val="16"/>
      <w:szCs w:val="16"/>
    </w:rPr>
  </w:style>
  <w:style w:type="character" w:styleId="Hyperlink">
    <w:name w:val="Hyperlink"/>
    <w:basedOn w:val="DefaultParagraphFont"/>
    <w:rsid w:val="004550D7"/>
    <w:rPr>
      <w:color w:val="0000FF"/>
      <w:u w:val="single"/>
    </w:rPr>
  </w:style>
  <w:style w:type="paragraph" w:customStyle="1" w:styleId="DefaultText">
    <w:name w:val="Default Text"/>
    <w:basedOn w:val="Normal"/>
    <w:rsid w:val="004550D7"/>
    <w:pPr>
      <w:overflowPunct w:val="0"/>
      <w:autoSpaceDE w:val="0"/>
      <w:autoSpaceDN w:val="0"/>
      <w:adjustRightInd w:val="0"/>
    </w:pPr>
    <w:rPr>
      <w:szCs w:val="20"/>
      <w:lang w:val="en-US"/>
    </w:rPr>
  </w:style>
  <w:style w:type="paragraph" w:customStyle="1" w:styleId="Content">
    <w:name w:val="Content"/>
    <w:basedOn w:val="Normal"/>
    <w:rsid w:val="004550D7"/>
    <w:rPr>
      <w:rFonts w:ascii="Arial" w:hAnsi="Arial"/>
    </w:rPr>
  </w:style>
  <w:style w:type="paragraph" w:styleId="FootnoteText">
    <w:name w:val="footnote text"/>
    <w:basedOn w:val="Normal"/>
    <w:semiHidden/>
    <w:rsid w:val="004550D7"/>
    <w:rPr>
      <w:rFonts w:ascii="Arial" w:hAnsi="Arial"/>
      <w:sz w:val="20"/>
      <w:szCs w:val="20"/>
    </w:rPr>
  </w:style>
  <w:style w:type="paragraph" w:customStyle="1" w:styleId="AddressInfo">
    <w:name w:val="Address Info"/>
    <w:basedOn w:val="Normal"/>
    <w:rsid w:val="004550D7"/>
    <w:rPr>
      <w:rFonts w:ascii="Verdana" w:hAnsi="Verdana"/>
      <w:sz w:val="20"/>
    </w:rPr>
  </w:style>
  <w:style w:type="paragraph" w:customStyle="1" w:styleId="BusinessArea">
    <w:name w:val="Business Area"/>
    <w:basedOn w:val="AddressInfo"/>
    <w:rsid w:val="004550D7"/>
    <w:rPr>
      <w:b/>
    </w:rPr>
  </w:style>
  <w:style w:type="table" w:styleId="TableGrid">
    <w:name w:val="Table Grid"/>
    <w:basedOn w:val="TableNormal"/>
    <w:rsid w:val="00C84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F02DE"/>
    <w:rPr>
      <w:color w:val="800080"/>
      <w:u w:val="single"/>
    </w:rPr>
  </w:style>
  <w:style w:type="character" w:styleId="CommentReference">
    <w:name w:val="annotation reference"/>
    <w:basedOn w:val="DefaultParagraphFont"/>
    <w:semiHidden/>
    <w:rsid w:val="00CD1502"/>
    <w:rPr>
      <w:sz w:val="16"/>
      <w:szCs w:val="16"/>
    </w:rPr>
  </w:style>
  <w:style w:type="paragraph" w:styleId="CommentText">
    <w:name w:val="annotation text"/>
    <w:basedOn w:val="Normal"/>
    <w:semiHidden/>
    <w:rsid w:val="00CD1502"/>
    <w:rPr>
      <w:sz w:val="20"/>
      <w:szCs w:val="20"/>
    </w:rPr>
  </w:style>
  <w:style w:type="paragraph" w:styleId="CommentSubject">
    <w:name w:val="annotation subject"/>
    <w:basedOn w:val="CommentText"/>
    <w:next w:val="CommentText"/>
    <w:semiHidden/>
    <w:rsid w:val="00CD1502"/>
    <w:rPr>
      <w:b/>
      <w:bCs/>
    </w:rPr>
  </w:style>
</w:styles>
</file>

<file path=word/webSettings.xml><?xml version="1.0" encoding="utf-8"?>
<w:webSettings xmlns:r="http://schemas.openxmlformats.org/officeDocument/2006/relationships" xmlns:w="http://schemas.openxmlformats.org/wordprocessingml/2006/main">
  <w:divs>
    <w:div w:id="10839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ucompni.gov.uk/uploads/resource_downloads/competitive_logo_jpe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fpni.gov.uk/index/finance/afmd/afmd-key-guidance/afmd-mpmn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Special EU Programmes Body</Company>
  <LinksUpToDate>false</LinksUpToDate>
  <CharactersWithSpaces>10948</CharactersWithSpaces>
  <SharedDoc>false</SharedDoc>
  <HLinks>
    <vt:vector size="6" baseType="variant">
      <vt:variant>
        <vt:i4>6815830</vt:i4>
      </vt:variant>
      <vt:variant>
        <vt:i4>0</vt:i4>
      </vt:variant>
      <vt:variant>
        <vt:i4>0</vt:i4>
      </vt:variant>
      <vt:variant>
        <vt:i4>5</vt:i4>
      </vt:variant>
      <vt:variant>
        <vt:lpwstr>http://www.aasdni.gov.uk/pubs/MPMNI/mpm_chapters.pdf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hamiltonm</dc:creator>
  <cp:keywords/>
  <cp:lastModifiedBy>Karl Shields</cp:lastModifiedBy>
  <cp:revision>3</cp:revision>
  <dcterms:created xsi:type="dcterms:W3CDTF">2015-01-21T14:26:00Z</dcterms:created>
  <dcterms:modified xsi:type="dcterms:W3CDTF">2015-02-10T14:33:00Z</dcterms:modified>
</cp:coreProperties>
</file>