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32" w:rsidRPr="007C1580" w:rsidRDefault="007C1580" w:rsidP="00A95294">
      <w:pPr>
        <w:jc w:val="both"/>
        <w:rPr>
          <w:rFonts w:ascii="Arial" w:hAnsi="Arial" w:cs="Arial"/>
          <w:b/>
        </w:rPr>
      </w:pPr>
      <w:proofErr w:type="gramStart"/>
      <w:r w:rsidRPr="007C1580">
        <w:rPr>
          <w:rFonts w:ascii="Arial" w:hAnsi="Arial" w:cs="Arial"/>
          <w:b/>
        </w:rPr>
        <w:t xml:space="preserve">Guidance on Fraud Risk Assessment </w:t>
      </w:r>
      <w:r w:rsidR="004D3E5D">
        <w:rPr>
          <w:rFonts w:ascii="Arial" w:hAnsi="Arial" w:cs="Arial"/>
          <w:b/>
        </w:rPr>
        <w:t xml:space="preserve">in the </w:t>
      </w:r>
      <w:r w:rsidRPr="007C1580">
        <w:rPr>
          <w:rFonts w:ascii="Arial" w:hAnsi="Arial" w:cs="Arial"/>
          <w:b/>
        </w:rPr>
        <w:t>2014-2020 ESIF Programmes</w:t>
      </w:r>
      <w:r w:rsidR="004D3E5D">
        <w:rPr>
          <w:rFonts w:ascii="Arial" w:hAnsi="Arial" w:cs="Arial"/>
          <w:b/>
        </w:rPr>
        <w:t>.</w:t>
      </w:r>
      <w:proofErr w:type="gramEnd"/>
    </w:p>
    <w:p w:rsidR="004E5F32" w:rsidRDefault="004E5F32" w:rsidP="00A95294">
      <w:pPr>
        <w:jc w:val="both"/>
        <w:rPr>
          <w:rFonts w:ascii="Arial" w:hAnsi="Arial" w:cs="Arial"/>
        </w:rPr>
      </w:pPr>
    </w:p>
    <w:p w:rsidR="007C1580" w:rsidRPr="007C1580" w:rsidRDefault="007C1580" w:rsidP="007C1580">
      <w:pPr>
        <w:numPr>
          <w:ilvl w:val="0"/>
          <w:numId w:val="2"/>
        </w:numPr>
        <w:ind w:hanging="720"/>
        <w:jc w:val="both"/>
        <w:rPr>
          <w:rFonts w:ascii="Arial" w:hAnsi="Arial" w:cs="Arial"/>
          <w:b/>
        </w:rPr>
      </w:pPr>
      <w:r w:rsidRPr="007C1580">
        <w:rPr>
          <w:rFonts w:ascii="Arial" w:hAnsi="Arial" w:cs="Arial"/>
          <w:b/>
        </w:rPr>
        <w:t>GENERAL</w:t>
      </w:r>
    </w:p>
    <w:p w:rsidR="004E5F32" w:rsidRPr="004E5F32" w:rsidRDefault="004E5F32" w:rsidP="00A95294">
      <w:pPr>
        <w:jc w:val="both"/>
        <w:rPr>
          <w:rFonts w:ascii="Arial" w:hAnsi="Arial" w:cs="Arial"/>
        </w:rPr>
      </w:pPr>
    </w:p>
    <w:p w:rsidR="00A41B65" w:rsidRPr="00A41B65" w:rsidRDefault="0062785B" w:rsidP="00A41B65">
      <w:pPr>
        <w:jc w:val="both"/>
        <w:rPr>
          <w:rFonts w:ascii="Arial" w:hAnsi="Arial" w:cs="Arial"/>
        </w:rPr>
      </w:pPr>
      <w:r w:rsidRPr="0062785B">
        <w:rPr>
          <w:rFonts w:ascii="Arial" w:hAnsi="Arial" w:cs="Arial"/>
        </w:rPr>
        <w:t>Managing Public Money Northern Ireland Annex 4.7</w:t>
      </w:r>
      <w:r>
        <w:rPr>
          <w:sz w:val="22"/>
          <w:szCs w:val="22"/>
        </w:rPr>
        <w:t xml:space="preserve"> </w:t>
      </w:r>
      <w:r w:rsidR="00A41B65">
        <w:rPr>
          <w:rFonts w:ascii="Arial" w:hAnsi="Arial" w:cs="Arial"/>
        </w:rPr>
        <w:t>provide</w:t>
      </w:r>
      <w:r w:rsidR="00231E9F">
        <w:rPr>
          <w:rFonts w:ascii="Arial" w:hAnsi="Arial" w:cs="Arial"/>
        </w:rPr>
        <w:t>s</w:t>
      </w:r>
      <w:r w:rsidR="00A41B65" w:rsidRPr="00A41B65">
        <w:rPr>
          <w:rFonts w:ascii="Arial" w:hAnsi="Arial" w:cs="Arial"/>
        </w:rPr>
        <w:t xml:space="preserve"> details of responsibilities in the prevention of fraud.</w:t>
      </w:r>
    </w:p>
    <w:p w:rsidR="002F5B02" w:rsidRDefault="002F5B02" w:rsidP="00A95294">
      <w:pPr>
        <w:jc w:val="both"/>
        <w:rPr>
          <w:rFonts w:ascii="Arial" w:hAnsi="Arial" w:cs="Arial"/>
        </w:rPr>
      </w:pPr>
    </w:p>
    <w:p w:rsidR="0062785B" w:rsidRPr="0062785B" w:rsidRDefault="009B129D" w:rsidP="000030B4">
      <w:pPr>
        <w:jc w:val="both"/>
        <w:rPr>
          <w:rFonts w:ascii="Arial" w:hAnsi="Arial" w:cs="Arial"/>
        </w:rPr>
      </w:pPr>
      <w:hyperlink r:id="rId8" w:history="1">
        <w:r w:rsidR="0062785B" w:rsidRPr="0062785B">
          <w:rPr>
            <w:rStyle w:val="Hyperlink"/>
            <w:rFonts w:ascii="Arial" w:hAnsi="Arial" w:cs="Arial"/>
          </w:rPr>
          <w:t>http://www.dfpni.gov.uk/index/finance/afmd/afmd-key-guidance/afmd-mpmni/a_4_7_further_revised_10_12_12_fraud.pdf</w:t>
        </w:r>
      </w:hyperlink>
    </w:p>
    <w:p w:rsidR="0062785B" w:rsidRDefault="0062785B" w:rsidP="000030B4">
      <w:pPr>
        <w:jc w:val="both"/>
      </w:pPr>
    </w:p>
    <w:p w:rsidR="004D3E5D" w:rsidRDefault="004D3E5D" w:rsidP="000030B4">
      <w:pPr>
        <w:jc w:val="both"/>
      </w:pPr>
    </w:p>
    <w:p w:rsidR="007C1580" w:rsidRPr="007C1580" w:rsidRDefault="007C1580" w:rsidP="007C1580">
      <w:pPr>
        <w:numPr>
          <w:ilvl w:val="0"/>
          <w:numId w:val="2"/>
        </w:numPr>
        <w:ind w:hanging="720"/>
        <w:jc w:val="both"/>
        <w:rPr>
          <w:rFonts w:ascii="Arial" w:hAnsi="Arial" w:cs="Arial"/>
          <w:b/>
        </w:rPr>
      </w:pPr>
      <w:r w:rsidRPr="007C1580">
        <w:rPr>
          <w:rFonts w:ascii="Arial" w:hAnsi="Arial" w:cs="Arial"/>
          <w:b/>
        </w:rPr>
        <w:t>THE 2014-2020 ESIF REGULATIONS</w:t>
      </w:r>
    </w:p>
    <w:p w:rsidR="007C1580" w:rsidRDefault="007C1580" w:rsidP="000030B4">
      <w:pPr>
        <w:jc w:val="both"/>
      </w:pPr>
    </w:p>
    <w:p w:rsidR="00AD1804" w:rsidRDefault="0057295B" w:rsidP="000030B4">
      <w:pPr>
        <w:jc w:val="both"/>
        <w:rPr>
          <w:rFonts w:ascii="Arial" w:hAnsi="Arial" w:cs="Arial"/>
        </w:rPr>
      </w:pPr>
      <w:r w:rsidRPr="00231E9F">
        <w:rPr>
          <w:rFonts w:ascii="Arial" w:hAnsi="Arial" w:cs="Arial"/>
          <w:b/>
        </w:rPr>
        <w:t>Article 125(4</w:t>
      </w:r>
      <w:proofErr w:type="gramStart"/>
      <w:r w:rsidRPr="00231E9F">
        <w:rPr>
          <w:rFonts w:ascii="Arial" w:hAnsi="Arial" w:cs="Arial"/>
          <w:b/>
        </w:rPr>
        <w:t>)(</w:t>
      </w:r>
      <w:proofErr w:type="gramEnd"/>
      <w:r w:rsidRPr="00231E9F">
        <w:rPr>
          <w:rFonts w:ascii="Arial" w:hAnsi="Arial" w:cs="Arial"/>
          <w:b/>
        </w:rPr>
        <w:t>c)</w:t>
      </w:r>
      <w:r w:rsidR="00231E9F">
        <w:rPr>
          <w:rFonts w:ascii="Arial" w:hAnsi="Arial" w:cs="Arial"/>
          <w:b/>
        </w:rPr>
        <w:t xml:space="preserve"> of the Common Provision Regulations</w:t>
      </w:r>
      <w:r>
        <w:rPr>
          <w:rFonts w:ascii="Arial" w:hAnsi="Arial" w:cs="Arial"/>
        </w:rPr>
        <w:t xml:space="preserve"> lays down that </w:t>
      </w:r>
    </w:p>
    <w:p w:rsidR="00BE5EC2" w:rsidRDefault="00BE5EC2" w:rsidP="000030B4">
      <w:pPr>
        <w:jc w:val="both"/>
        <w:rPr>
          <w:rFonts w:ascii="Arial" w:hAnsi="Arial" w:cs="Arial"/>
        </w:rPr>
      </w:pPr>
      <w:r>
        <w:rPr>
          <w:rFonts w:ascii="Arial" w:hAnsi="Arial" w:cs="Arial"/>
        </w:rPr>
        <w:t>‘As regards the financial management and control of the operational programmes, the managing authority shall put in place effective and proportionate anti-fraud measures taking into account the risks identified’</w:t>
      </w:r>
      <w:r w:rsidR="000331BE">
        <w:rPr>
          <w:rFonts w:ascii="Arial" w:hAnsi="Arial" w:cs="Arial"/>
        </w:rPr>
        <w:t>.</w:t>
      </w:r>
    </w:p>
    <w:p w:rsidR="00BE5EC2" w:rsidRDefault="00BE5EC2" w:rsidP="000030B4">
      <w:pPr>
        <w:jc w:val="both"/>
        <w:rPr>
          <w:rFonts w:ascii="Arial" w:hAnsi="Arial" w:cs="Arial"/>
        </w:rPr>
      </w:pPr>
    </w:p>
    <w:p w:rsidR="000030B4" w:rsidRDefault="0047132E" w:rsidP="000030B4">
      <w:pPr>
        <w:jc w:val="both"/>
        <w:rPr>
          <w:rFonts w:ascii="Arial" w:hAnsi="Arial" w:cs="Arial"/>
        </w:rPr>
      </w:pPr>
      <w:r>
        <w:rPr>
          <w:rFonts w:ascii="Arial" w:hAnsi="Arial" w:cs="Arial"/>
        </w:rPr>
        <w:t xml:space="preserve">The </w:t>
      </w:r>
      <w:r w:rsidR="009978DA">
        <w:rPr>
          <w:rFonts w:ascii="Arial" w:hAnsi="Arial" w:cs="Arial"/>
        </w:rPr>
        <w:t xml:space="preserve">Commission has developed </w:t>
      </w:r>
      <w:r w:rsidR="00175ED2">
        <w:rPr>
          <w:rFonts w:ascii="Arial" w:hAnsi="Arial" w:cs="Arial"/>
        </w:rPr>
        <w:t xml:space="preserve">the following </w:t>
      </w:r>
      <w:r w:rsidR="00170C58">
        <w:rPr>
          <w:rFonts w:ascii="Arial" w:hAnsi="Arial" w:cs="Arial"/>
        </w:rPr>
        <w:t xml:space="preserve">Fraud Risk Assessment </w:t>
      </w:r>
      <w:r w:rsidR="009978DA">
        <w:rPr>
          <w:rFonts w:ascii="Arial" w:hAnsi="Arial" w:cs="Arial"/>
        </w:rPr>
        <w:t>guidance which provides assistance and recommendations for the implementation of Article 125(4</w:t>
      </w:r>
      <w:proofErr w:type="gramStart"/>
      <w:r w:rsidR="009978DA">
        <w:rPr>
          <w:rFonts w:ascii="Arial" w:hAnsi="Arial" w:cs="Arial"/>
        </w:rPr>
        <w:t>)(</w:t>
      </w:r>
      <w:proofErr w:type="gramEnd"/>
      <w:r w:rsidR="009978DA">
        <w:rPr>
          <w:rFonts w:ascii="Arial" w:hAnsi="Arial" w:cs="Arial"/>
        </w:rPr>
        <w:t>c)</w:t>
      </w:r>
      <w:r w:rsidR="007C1580">
        <w:rPr>
          <w:rFonts w:ascii="Arial" w:hAnsi="Arial" w:cs="Arial"/>
        </w:rPr>
        <w:t xml:space="preserve"> including a spreadsheet template for assessing risk</w:t>
      </w:r>
      <w:r w:rsidR="009978DA">
        <w:rPr>
          <w:rFonts w:ascii="Arial" w:hAnsi="Arial" w:cs="Arial"/>
        </w:rPr>
        <w:t>.</w:t>
      </w:r>
      <w:r w:rsidR="00743E49">
        <w:rPr>
          <w:rFonts w:ascii="Arial" w:hAnsi="Arial" w:cs="Arial"/>
        </w:rPr>
        <w:t xml:space="preserve">  Th</w:t>
      </w:r>
      <w:r w:rsidR="00CF53B2">
        <w:rPr>
          <w:rFonts w:ascii="Arial" w:hAnsi="Arial" w:cs="Arial"/>
        </w:rPr>
        <w:t>e</w:t>
      </w:r>
      <w:r w:rsidR="000030B4">
        <w:rPr>
          <w:rFonts w:ascii="Arial" w:hAnsi="Arial" w:cs="Arial"/>
        </w:rPr>
        <w:t xml:space="preserve"> </w:t>
      </w:r>
      <w:r w:rsidR="0062785B">
        <w:rPr>
          <w:rFonts w:ascii="Arial" w:hAnsi="Arial" w:cs="Arial"/>
        </w:rPr>
        <w:t xml:space="preserve">Commission </w:t>
      </w:r>
      <w:r w:rsidR="000030B4">
        <w:rPr>
          <w:rFonts w:ascii="Arial" w:hAnsi="Arial" w:cs="Arial"/>
        </w:rPr>
        <w:t>guidance is addressed to the Managing Authorities and Audit Authorities of the European Regional Development Fund (ERDF)</w:t>
      </w:r>
      <w:r w:rsidR="007C1580">
        <w:rPr>
          <w:rFonts w:ascii="Arial" w:hAnsi="Arial" w:cs="Arial"/>
        </w:rPr>
        <w:t xml:space="preserve"> and</w:t>
      </w:r>
      <w:r w:rsidR="000030B4">
        <w:rPr>
          <w:rFonts w:ascii="Arial" w:hAnsi="Arial" w:cs="Arial"/>
        </w:rPr>
        <w:t xml:space="preserve"> the European Social Fund (ESF)</w:t>
      </w:r>
      <w:r w:rsidR="007C1580">
        <w:rPr>
          <w:rFonts w:ascii="Arial" w:hAnsi="Arial" w:cs="Arial"/>
        </w:rPr>
        <w:t xml:space="preserve">. </w:t>
      </w:r>
      <w:r w:rsidR="000030B4">
        <w:rPr>
          <w:rFonts w:ascii="Arial" w:hAnsi="Arial" w:cs="Arial"/>
        </w:rPr>
        <w:t xml:space="preserve"> </w:t>
      </w:r>
    </w:p>
    <w:p w:rsidR="000030B4" w:rsidRDefault="000030B4" w:rsidP="00A95294">
      <w:pPr>
        <w:jc w:val="both"/>
        <w:rPr>
          <w:rFonts w:ascii="Arial" w:hAnsi="Arial" w:cs="Arial"/>
        </w:rPr>
      </w:pPr>
    </w:p>
    <w:bookmarkStart w:id="0" w:name="_MON_1475496835"/>
    <w:bookmarkEnd w:id="0"/>
    <w:p w:rsidR="0062785B" w:rsidRDefault="007A1E17" w:rsidP="00A95294">
      <w:pPr>
        <w:jc w:val="both"/>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494760390" r:id="rId10">
            <o:FieldCodes>\s</o:FieldCodes>
          </o:OLEObject>
        </w:object>
      </w:r>
      <w:r>
        <w:object w:dxaOrig="1550" w:dyaOrig="991">
          <v:shape id="_x0000_i1026" type="#_x0000_t75" style="width:77.25pt;height:49.5pt" o:ole="">
            <v:imagedata r:id="rId11" o:title=""/>
          </v:shape>
          <o:OLEObject Type="Embed" ProgID="Word.Document.12" ShapeID="_x0000_i1026" DrawAspect="Icon" ObjectID="_1494760391" r:id="rId12">
            <o:FieldCodes>\s</o:FieldCodes>
          </o:OLEObject>
        </w:object>
      </w:r>
      <w:r>
        <w:object w:dxaOrig="1550" w:dyaOrig="991">
          <v:shape id="_x0000_i1027" type="#_x0000_t75" style="width:77.25pt;height:49.5pt" o:ole="">
            <v:imagedata r:id="rId13" o:title=""/>
          </v:shape>
          <o:OLEObject Type="Embed" ProgID="Word.Document.12" ShapeID="_x0000_i1027" DrawAspect="Icon" ObjectID="_1494760392" r:id="rId14">
            <o:FieldCodes>\s</o:FieldCodes>
          </o:OLEObject>
        </w:object>
      </w:r>
      <w:r>
        <w:object w:dxaOrig="1550" w:dyaOrig="991">
          <v:shape id="_x0000_i1028" type="#_x0000_t75" style="width:77.25pt;height:49.5pt" o:ole="">
            <v:imagedata r:id="rId15" o:title=""/>
          </v:shape>
          <o:OLEObject Type="Embed" ProgID="Word.Document.12" ShapeID="_x0000_i1028" DrawAspect="Icon" ObjectID="_1494760393" r:id="rId16">
            <o:FieldCodes>\s</o:FieldCodes>
          </o:OLEObject>
        </w:object>
      </w:r>
      <w:r>
        <w:object w:dxaOrig="1550" w:dyaOrig="991">
          <v:shape id="_x0000_i1029" type="#_x0000_t75" style="width:77.25pt;height:49.5pt" o:ole="">
            <v:imagedata r:id="rId17" o:title=""/>
          </v:shape>
          <o:OLEObject Type="Embed" ProgID="Word.Document.8" ShapeID="_x0000_i1029" DrawAspect="Icon" ObjectID="_1494760394" r:id="rId18">
            <o:FieldCodes>\s</o:FieldCodes>
          </o:OLEObject>
        </w:object>
      </w:r>
      <w:r>
        <w:object w:dxaOrig="1550" w:dyaOrig="991">
          <v:shape id="_x0000_i1030" type="#_x0000_t75" style="width:77.25pt;height:49.5pt" o:ole="">
            <v:imagedata r:id="rId19" o:title=""/>
          </v:shape>
          <o:OLEObject Type="Embed" ProgID="Excel.Sheet.12" ShapeID="_x0000_i1030" DrawAspect="Icon" ObjectID="_1494760395" r:id="rId20"/>
        </w:object>
      </w:r>
    </w:p>
    <w:p w:rsidR="004D3E5D" w:rsidRDefault="004D3E5D" w:rsidP="00A95294">
      <w:pPr>
        <w:jc w:val="both"/>
        <w:rPr>
          <w:rFonts w:ascii="Arial" w:hAnsi="Arial" w:cs="Arial"/>
        </w:rPr>
      </w:pPr>
    </w:p>
    <w:p w:rsidR="0057295B" w:rsidRDefault="000331BE" w:rsidP="007C1580">
      <w:pPr>
        <w:numPr>
          <w:ilvl w:val="0"/>
          <w:numId w:val="2"/>
        </w:numPr>
        <w:ind w:hanging="720"/>
        <w:jc w:val="both"/>
        <w:rPr>
          <w:rFonts w:ascii="Arial" w:hAnsi="Arial" w:cs="Arial"/>
          <w:b/>
        </w:rPr>
      </w:pPr>
      <w:r w:rsidRPr="000331BE">
        <w:rPr>
          <w:rFonts w:ascii="Arial" w:hAnsi="Arial" w:cs="Arial"/>
          <w:b/>
        </w:rPr>
        <w:t>R</w:t>
      </w:r>
      <w:r w:rsidR="007C1580">
        <w:rPr>
          <w:rFonts w:ascii="Arial" w:hAnsi="Arial" w:cs="Arial"/>
          <w:b/>
        </w:rPr>
        <w:t>ESPONSIBILITIES AND PROCESSESS</w:t>
      </w:r>
    </w:p>
    <w:p w:rsidR="002D7AA1" w:rsidRDefault="002D7AA1" w:rsidP="00A95294">
      <w:pPr>
        <w:jc w:val="both"/>
        <w:rPr>
          <w:rFonts w:ascii="Arial" w:hAnsi="Arial" w:cs="Arial"/>
          <w:b/>
        </w:rPr>
      </w:pPr>
    </w:p>
    <w:p w:rsidR="003C365C" w:rsidRDefault="002D7AA1" w:rsidP="00A95294">
      <w:pPr>
        <w:jc w:val="both"/>
        <w:rPr>
          <w:rFonts w:ascii="Arial" w:hAnsi="Arial" w:cs="Arial"/>
        </w:rPr>
      </w:pPr>
      <w:r w:rsidRPr="002D7AA1">
        <w:rPr>
          <w:rFonts w:ascii="Arial" w:hAnsi="Arial" w:cs="Arial"/>
        </w:rPr>
        <w:t xml:space="preserve">Responsibility for </w:t>
      </w:r>
      <w:r w:rsidR="003C365C">
        <w:rPr>
          <w:rFonts w:ascii="Arial" w:hAnsi="Arial" w:cs="Arial"/>
        </w:rPr>
        <w:t xml:space="preserve">drawing up guidance on </w:t>
      </w:r>
      <w:r w:rsidRPr="002D7AA1">
        <w:rPr>
          <w:rFonts w:ascii="Arial" w:hAnsi="Arial" w:cs="Arial"/>
        </w:rPr>
        <w:t xml:space="preserve">Fraud Risk Assessment specific to their programme lies with the Programme Managing Authority.  </w:t>
      </w:r>
      <w:r w:rsidR="003C365C">
        <w:rPr>
          <w:rFonts w:ascii="Arial" w:hAnsi="Arial" w:cs="Arial"/>
        </w:rPr>
        <w:t xml:space="preserve">Such guidance must conform to the </w:t>
      </w:r>
      <w:r w:rsidR="00551C68">
        <w:rPr>
          <w:rFonts w:ascii="Arial" w:hAnsi="Arial" w:cs="Arial"/>
        </w:rPr>
        <w:t xml:space="preserve">respective </w:t>
      </w:r>
      <w:r w:rsidR="003C365C">
        <w:rPr>
          <w:rFonts w:ascii="Arial" w:hAnsi="Arial" w:cs="Arial"/>
        </w:rPr>
        <w:t xml:space="preserve">Department’s Anti-Fraud Policy and </w:t>
      </w:r>
      <w:r w:rsidR="00B02BA1">
        <w:rPr>
          <w:rFonts w:ascii="Arial" w:hAnsi="Arial" w:cs="Arial"/>
        </w:rPr>
        <w:t xml:space="preserve">should </w:t>
      </w:r>
      <w:r w:rsidR="003C365C">
        <w:rPr>
          <w:rFonts w:ascii="Arial" w:hAnsi="Arial" w:cs="Arial"/>
        </w:rPr>
        <w:t>utilise the Commission</w:t>
      </w:r>
      <w:r w:rsidR="00341669">
        <w:rPr>
          <w:rFonts w:ascii="Arial" w:hAnsi="Arial" w:cs="Arial"/>
        </w:rPr>
        <w:t>’s</w:t>
      </w:r>
      <w:r w:rsidR="003C365C">
        <w:rPr>
          <w:rFonts w:ascii="Arial" w:hAnsi="Arial" w:cs="Arial"/>
        </w:rPr>
        <w:t xml:space="preserve"> Fraud Risk Assessment Guidance</w:t>
      </w:r>
      <w:r w:rsidR="007C1580">
        <w:rPr>
          <w:rFonts w:ascii="Arial" w:hAnsi="Arial" w:cs="Arial"/>
        </w:rPr>
        <w:t xml:space="preserve"> and Spreadsheet</w:t>
      </w:r>
      <w:r w:rsidR="007C1040">
        <w:rPr>
          <w:rFonts w:ascii="Arial" w:hAnsi="Arial" w:cs="Arial"/>
        </w:rPr>
        <w:t>.</w:t>
      </w:r>
    </w:p>
    <w:p w:rsidR="003C365C" w:rsidRDefault="003C365C" w:rsidP="00A95294">
      <w:pPr>
        <w:jc w:val="both"/>
        <w:rPr>
          <w:rFonts w:ascii="Arial" w:hAnsi="Arial" w:cs="Arial"/>
        </w:rPr>
      </w:pPr>
    </w:p>
    <w:p w:rsidR="003C365C" w:rsidRDefault="003C365C" w:rsidP="00A95294">
      <w:pPr>
        <w:jc w:val="both"/>
        <w:rPr>
          <w:rFonts w:ascii="Arial" w:hAnsi="Arial" w:cs="Arial"/>
        </w:rPr>
      </w:pPr>
      <w:r>
        <w:rPr>
          <w:rFonts w:ascii="Arial" w:hAnsi="Arial" w:cs="Arial"/>
        </w:rPr>
        <w:t>The Fraud Risk Assessment Guidance sh</w:t>
      </w:r>
      <w:r w:rsidR="00341669">
        <w:rPr>
          <w:rFonts w:ascii="Arial" w:hAnsi="Arial" w:cs="Arial"/>
        </w:rPr>
        <w:t xml:space="preserve">all </w:t>
      </w:r>
      <w:r>
        <w:rPr>
          <w:rFonts w:ascii="Arial" w:hAnsi="Arial" w:cs="Arial"/>
        </w:rPr>
        <w:t xml:space="preserve">take account of the Commission’s recommendation that Managing Authorities adopt a proactive, structured and targeted approach to managing the risk of fraud.  </w:t>
      </w:r>
    </w:p>
    <w:p w:rsidR="00EE670A" w:rsidRDefault="00EE670A" w:rsidP="00A95294">
      <w:pPr>
        <w:jc w:val="both"/>
        <w:rPr>
          <w:rFonts w:ascii="Arial" w:hAnsi="Arial" w:cs="Arial"/>
        </w:rPr>
      </w:pPr>
    </w:p>
    <w:p w:rsidR="002D7AA1" w:rsidRDefault="003C365C" w:rsidP="00A95294">
      <w:pPr>
        <w:jc w:val="both"/>
        <w:rPr>
          <w:rFonts w:ascii="Arial" w:hAnsi="Arial" w:cs="Arial"/>
        </w:rPr>
      </w:pPr>
      <w:r>
        <w:rPr>
          <w:rFonts w:ascii="Arial" w:hAnsi="Arial" w:cs="Arial"/>
        </w:rPr>
        <w:t xml:space="preserve">To promote consistency of approach, Managing </w:t>
      </w:r>
      <w:r w:rsidR="00EE670A">
        <w:rPr>
          <w:rFonts w:ascii="Arial" w:hAnsi="Arial" w:cs="Arial"/>
        </w:rPr>
        <w:t xml:space="preserve">Authorities shall share draft guidance with the Member State Authority (DFP), other ESIF Managing Authorities and Northern Ireland Departments through the channel of the Core </w:t>
      </w:r>
      <w:r w:rsidR="00EE670A">
        <w:rPr>
          <w:rFonts w:ascii="Arial" w:hAnsi="Arial" w:cs="Arial"/>
        </w:rPr>
        <w:lastRenderedPageBreak/>
        <w:t>Implementation Group, the EU Steering Group and/or other coordination structures established for the purpose.</w:t>
      </w:r>
    </w:p>
    <w:p w:rsidR="00EE670A" w:rsidRDefault="00EE670A" w:rsidP="00A95294">
      <w:pPr>
        <w:jc w:val="both"/>
        <w:rPr>
          <w:rFonts w:ascii="Arial" w:hAnsi="Arial" w:cs="Arial"/>
        </w:rPr>
      </w:pPr>
    </w:p>
    <w:p w:rsidR="00EE670A" w:rsidRDefault="00EE670A" w:rsidP="00A95294">
      <w:pPr>
        <w:jc w:val="both"/>
        <w:rPr>
          <w:rFonts w:ascii="Arial" w:hAnsi="Arial" w:cs="Arial"/>
        </w:rPr>
      </w:pPr>
      <w:r>
        <w:rPr>
          <w:rFonts w:ascii="Arial" w:hAnsi="Arial" w:cs="Arial"/>
        </w:rPr>
        <w:t>The Programme Audit Authority shall be consulted in the preparation of guidance and its view shall be taken into consideration by the Managing Authority.</w:t>
      </w:r>
    </w:p>
    <w:p w:rsidR="006A3021" w:rsidRDefault="006A3021" w:rsidP="00A95294">
      <w:pPr>
        <w:jc w:val="both"/>
        <w:rPr>
          <w:rFonts w:ascii="Arial" w:hAnsi="Arial" w:cs="Arial"/>
        </w:rPr>
      </w:pPr>
    </w:p>
    <w:p w:rsidR="004D3E5D" w:rsidRDefault="004D3E5D" w:rsidP="00A95294">
      <w:pPr>
        <w:jc w:val="both"/>
        <w:rPr>
          <w:rFonts w:ascii="Arial" w:hAnsi="Arial" w:cs="Arial"/>
        </w:rPr>
      </w:pPr>
    </w:p>
    <w:p w:rsidR="00D32599" w:rsidRDefault="00D32599" w:rsidP="00D32599">
      <w:pPr>
        <w:numPr>
          <w:ilvl w:val="0"/>
          <w:numId w:val="2"/>
        </w:numPr>
        <w:ind w:hanging="720"/>
        <w:jc w:val="both"/>
        <w:rPr>
          <w:rFonts w:ascii="Arial" w:hAnsi="Arial" w:cs="Arial"/>
          <w:b/>
        </w:rPr>
      </w:pPr>
      <w:r w:rsidRPr="00D32599">
        <w:rPr>
          <w:rFonts w:ascii="Arial" w:hAnsi="Arial" w:cs="Arial"/>
          <w:b/>
        </w:rPr>
        <w:t>EXCEPTIONS</w:t>
      </w:r>
    </w:p>
    <w:p w:rsidR="00D32599" w:rsidRDefault="00D32599" w:rsidP="00D32599">
      <w:pPr>
        <w:ind w:left="720"/>
        <w:jc w:val="both"/>
        <w:rPr>
          <w:rFonts w:ascii="Arial" w:hAnsi="Arial" w:cs="Arial"/>
          <w:b/>
        </w:rPr>
      </w:pPr>
    </w:p>
    <w:p w:rsidR="00D32599" w:rsidRDefault="00D32599" w:rsidP="00D32599">
      <w:pPr>
        <w:jc w:val="both"/>
        <w:rPr>
          <w:rFonts w:ascii="Arial" w:hAnsi="Arial" w:cs="Arial"/>
        </w:rPr>
      </w:pPr>
      <w:r w:rsidRPr="00D32599">
        <w:rPr>
          <w:rFonts w:ascii="Arial" w:hAnsi="Arial" w:cs="Arial"/>
        </w:rPr>
        <w:t xml:space="preserve">As </w:t>
      </w:r>
      <w:r>
        <w:rPr>
          <w:rFonts w:ascii="Arial" w:hAnsi="Arial" w:cs="Arial"/>
        </w:rPr>
        <w:t>guidance for Territorial Cooperation programmes has to be mutually agreed by participating member states, it may not always match national guidance.</w:t>
      </w:r>
    </w:p>
    <w:p w:rsidR="00D32599" w:rsidRDefault="00D32599" w:rsidP="00D32599">
      <w:pPr>
        <w:jc w:val="both"/>
        <w:rPr>
          <w:rFonts w:ascii="Arial" w:hAnsi="Arial" w:cs="Arial"/>
        </w:rPr>
      </w:pPr>
    </w:p>
    <w:p w:rsidR="00D32599" w:rsidRDefault="00AD49B1" w:rsidP="00D32599">
      <w:pPr>
        <w:jc w:val="both"/>
        <w:rPr>
          <w:rFonts w:ascii="Arial" w:hAnsi="Arial" w:cs="Arial"/>
        </w:rPr>
      </w:pPr>
      <w:r>
        <w:rPr>
          <w:rFonts w:ascii="Arial" w:hAnsi="Arial" w:cs="Arial"/>
        </w:rPr>
        <w:t>H</w:t>
      </w:r>
      <w:r w:rsidR="00D32599">
        <w:rPr>
          <w:rFonts w:ascii="Arial" w:hAnsi="Arial" w:cs="Arial"/>
        </w:rPr>
        <w:t>owever, participants in the coordination structures should seek the maximum consistency possible in the interest of simplification and synergy.</w:t>
      </w:r>
    </w:p>
    <w:p w:rsidR="00FE7A8C" w:rsidRDefault="00FE7A8C" w:rsidP="00D32599">
      <w:pPr>
        <w:jc w:val="both"/>
        <w:rPr>
          <w:rFonts w:ascii="Arial" w:hAnsi="Arial" w:cs="Arial"/>
        </w:rPr>
      </w:pPr>
    </w:p>
    <w:p w:rsidR="004D3E5D" w:rsidRDefault="004D3E5D" w:rsidP="00D32599">
      <w:pPr>
        <w:jc w:val="both"/>
        <w:rPr>
          <w:rFonts w:ascii="Arial" w:hAnsi="Arial" w:cs="Arial"/>
        </w:rPr>
      </w:pPr>
    </w:p>
    <w:p w:rsidR="00C60F29" w:rsidRPr="004D3E5D" w:rsidRDefault="00C60F29" w:rsidP="00C60F29">
      <w:pPr>
        <w:pStyle w:val="ListParagraph"/>
        <w:numPr>
          <w:ilvl w:val="0"/>
          <w:numId w:val="2"/>
        </w:numPr>
        <w:spacing w:after="200" w:line="276" w:lineRule="auto"/>
        <w:ind w:hanging="720"/>
        <w:contextualSpacing/>
        <w:jc w:val="both"/>
        <w:rPr>
          <w:rFonts w:ascii="Arial" w:hAnsi="Arial" w:cs="Arial"/>
          <w:b/>
        </w:rPr>
      </w:pPr>
      <w:r w:rsidRPr="004D3E5D">
        <w:rPr>
          <w:rFonts w:ascii="Arial" w:hAnsi="Arial" w:cs="Arial"/>
          <w:b/>
        </w:rPr>
        <w:t>REFERENCES</w:t>
      </w:r>
    </w:p>
    <w:p w:rsidR="00FE7A8C" w:rsidRDefault="00C60F29" w:rsidP="00FE7A8C">
      <w:pPr>
        <w:jc w:val="both"/>
        <w:rPr>
          <w:rFonts w:ascii="Arial" w:hAnsi="Arial" w:cs="Arial"/>
        </w:rPr>
      </w:pPr>
      <w:r w:rsidRPr="00C60F29">
        <w:rPr>
          <w:rFonts w:ascii="Arial" w:hAnsi="Arial" w:cs="Arial"/>
        </w:rPr>
        <w:t>A library of Cohesion Policy information resources is maintained by the Directorate General for Regional and Urban Policy at the European Commission at:</w:t>
      </w:r>
    </w:p>
    <w:p w:rsidR="00FE7A8C" w:rsidRPr="00FE7A8C" w:rsidRDefault="00FE7A8C" w:rsidP="00FE7A8C">
      <w:pPr>
        <w:jc w:val="both"/>
        <w:rPr>
          <w:rFonts w:ascii="Arial" w:hAnsi="Arial" w:cs="Arial"/>
        </w:rPr>
      </w:pPr>
    </w:p>
    <w:p w:rsidR="00FE7A8C" w:rsidRDefault="009B129D" w:rsidP="00FE7A8C">
      <w:pPr>
        <w:jc w:val="both"/>
        <w:rPr>
          <w:rFonts w:ascii="Arial" w:hAnsi="Arial" w:cs="Arial"/>
        </w:rPr>
      </w:pPr>
      <w:hyperlink r:id="rId21" w:history="1">
        <w:r w:rsidR="00C60F29" w:rsidRPr="00C60F29">
          <w:rPr>
            <w:rStyle w:val="Hyperlink"/>
            <w:rFonts w:ascii="Arial" w:hAnsi="Arial" w:cs="Arial"/>
          </w:rPr>
          <w:t>http://ec.europa.eu/regional_policy/information/index_en.cfm</w:t>
        </w:r>
      </w:hyperlink>
      <w:r w:rsidR="00C60F29" w:rsidRPr="00C60F29">
        <w:rPr>
          <w:rFonts w:ascii="Arial" w:hAnsi="Arial" w:cs="Arial"/>
        </w:rPr>
        <w:t xml:space="preserve"> </w:t>
      </w:r>
    </w:p>
    <w:p w:rsidR="00E2600A" w:rsidRDefault="00E2600A" w:rsidP="00FE7A8C">
      <w:pPr>
        <w:jc w:val="both"/>
        <w:rPr>
          <w:rFonts w:ascii="Arial" w:hAnsi="Arial" w:cs="Arial"/>
        </w:rPr>
      </w:pPr>
    </w:p>
    <w:p w:rsidR="00E2600A" w:rsidRDefault="00C60F29" w:rsidP="00E2600A">
      <w:pPr>
        <w:jc w:val="both"/>
        <w:rPr>
          <w:rFonts w:ascii="Arial" w:hAnsi="Arial" w:cs="Arial"/>
        </w:rPr>
      </w:pPr>
      <w:r w:rsidRPr="00C60F29">
        <w:rPr>
          <w:rFonts w:ascii="Arial" w:hAnsi="Arial" w:cs="Arial"/>
        </w:rPr>
        <w:t>Training materials (including in podcast format) may be downloaded at:</w:t>
      </w:r>
    </w:p>
    <w:p w:rsidR="00E2600A" w:rsidRPr="00E2600A" w:rsidRDefault="00E2600A" w:rsidP="00E2600A">
      <w:pPr>
        <w:jc w:val="both"/>
        <w:rPr>
          <w:rFonts w:ascii="Arial" w:hAnsi="Arial" w:cs="Arial"/>
        </w:rPr>
      </w:pPr>
    </w:p>
    <w:p w:rsidR="00E2600A" w:rsidRPr="00E2600A" w:rsidRDefault="009B129D" w:rsidP="00E2600A">
      <w:pPr>
        <w:jc w:val="both"/>
        <w:rPr>
          <w:rFonts w:ascii="Arial" w:hAnsi="Arial" w:cs="Arial"/>
        </w:rPr>
      </w:pPr>
      <w:hyperlink r:id="rId22" w:history="1">
        <w:r w:rsidR="00C60F29" w:rsidRPr="00C60F29">
          <w:rPr>
            <w:rStyle w:val="Hyperlink"/>
            <w:rFonts w:ascii="Arial" w:hAnsi="Arial" w:cs="Arial"/>
          </w:rPr>
          <w:t>http://ec.europa.eu/regional_policy/what/future/experts_training_en.cfm</w:t>
        </w:r>
      </w:hyperlink>
      <w:r w:rsidR="00C60F29" w:rsidRPr="00C60F29">
        <w:rPr>
          <w:rFonts w:ascii="Arial" w:hAnsi="Arial" w:cs="Arial"/>
        </w:rPr>
        <w:t xml:space="preserve"> </w:t>
      </w:r>
    </w:p>
    <w:p w:rsidR="00FE7A8C" w:rsidRDefault="00FE7A8C" w:rsidP="00FE7A8C">
      <w:pPr>
        <w:jc w:val="both"/>
        <w:rPr>
          <w:rFonts w:ascii="Arial" w:hAnsi="Arial" w:cs="Arial"/>
        </w:rPr>
      </w:pPr>
    </w:p>
    <w:p w:rsidR="00FE7A8C" w:rsidRDefault="00FE7A8C" w:rsidP="00FE7A8C">
      <w:pPr>
        <w:jc w:val="both"/>
        <w:rPr>
          <w:rFonts w:ascii="Arial" w:hAnsi="Arial" w:cs="Arial"/>
        </w:rPr>
      </w:pPr>
      <w:r>
        <w:rPr>
          <w:rFonts w:ascii="Arial" w:hAnsi="Arial" w:cs="Arial"/>
        </w:rPr>
        <w:t>The</w:t>
      </w:r>
      <w:r w:rsidR="00C60F29" w:rsidRPr="00C60F29">
        <w:rPr>
          <w:rFonts w:ascii="Arial" w:hAnsi="Arial" w:cs="Arial"/>
        </w:rPr>
        <w:t xml:space="preserve"> guidance on </w:t>
      </w:r>
      <w:r>
        <w:rPr>
          <w:rFonts w:ascii="Arial" w:hAnsi="Arial" w:cs="Arial"/>
        </w:rPr>
        <w:t xml:space="preserve">fraud risk assessment </w:t>
      </w:r>
      <w:r w:rsidR="00C60F29" w:rsidRPr="00C60F29">
        <w:rPr>
          <w:rFonts w:ascii="Arial" w:hAnsi="Arial" w:cs="Arial"/>
        </w:rPr>
        <w:t>may be found at:</w:t>
      </w:r>
    </w:p>
    <w:p w:rsidR="00FE7A8C" w:rsidRDefault="00FE7A8C" w:rsidP="00FE7A8C">
      <w:pPr>
        <w:jc w:val="both"/>
        <w:rPr>
          <w:rFonts w:ascii="Arial" w:hAnsi="Arial" w:cs="Arial"/>
        </w:rPr>
      </w:pPr>
    </w:p>
    <w:p w:rsidR="00FE7A8C" w:rsidRDefault="009B129D" w:rsidP="00FE7A8C">
      <w:pPr>
        <w:jc w:val="both"/>
        <w:rPr>
          <w:rFonts w:ascii="Arial" w:hAnsi="Arial" w:cs="Arial"/>
        </w:rPr>
      </w:pPr>
      <w:hyperlink r:id="rId23" w:anchor="6" w:history="1">
        <w:r w:rsidR="00FE7A8C" w:rsidRPr="009B1352">
          <w:rPr>
            <w:rStyle w:val="Hyperlink"/>
            <w:rFonts w:ascii="Arial" w:hAnsi="Arial" w:cs="Arial"/>
          </w:rPr>
          <w:t>http://ec.europa.eu/regional_policy/information/guidelines/index_en.cfm#6</w:t>
        </w:r>
      </w:hyperlink>
      <w:r w:rsidR="00FE7A8C">
        <w:rPr>
          <w:rFonts w:ascii="Arial" w:hAnsi="Arial" w:cs="Arial"/>
        </w:rPr>
        <w:t xml:space="preserve"> </w:t>
      </w:r>
    </w:p>
    <w:p w:rsidR="00FE7A8C" w:rsidRDefault="00FE7A8C" w:rsidP="00FE7A8C">
      <w:pPr>
        <w:jc w:val="both"/>
        <w:rPr>
          <w:rFonts w:ascii="Arial" w:hAnsi="Arial" w:cs="Arial"/>
        </w:rPr>
      </w:pPr>
    </w:p>
    <w:p w:rsidR="00FE7A8C" w:rsidRDefault="00FE7A8C" w:rsidP="00FE7A8C">
      <w:pPr>
        <w:jc w:val="both"/>
        <w:rPr>
          <w:rFonts w:ascii="Arial" w:hAnsi="Arial" w:cs="Arial"/>
        </w:rPr>
      </w:pPr>
      <w:proofErr w:type="gramStart"/>
      <w:r>
        <w:rPr>
          <w:rFonts w:ascii="Arial" w:hAnsi="Arial" w:cs="Arial"/>
        </w:rPr>
        <w:t>under</w:t>
      </w:r>
      <w:proofErr w:type="gramEnd"/>
      <w:r>
        <w:rPr>
          <w:rFonts w:ascii="Arial" w:hAnsi="Arial" w:cs="Arial"/>
        </w:rPr>
        <w:t xml:space="preserve"> Management and Control.</w:t>
      </w:r>
    </w:p>
    <w:p w:rsidR="00FE7A8C" w:rsidRPr="00FE7A8C" w:rsidRDefault="00FE7A8C" w:rsidP="00FE7A8C">
      <w:pPr>
        <w:jc w:val="both"/>
        <w:rPr>
          <w:rFonts w:ascii="Arial" w:hAnsi="Arial" w:cs="Arial"/>
        </w:rPr>
      </w:pPr>
    </w:p>
    <w:p w:rsidR="00FE7A8C" w:rsidRPr="00D32599" w:rsidRDefault="00FE7A8C" w:rsidP="00D32599">
      <w:pPr>
        <w:jc w:val="both"/>
        <w:rPr>
          <w:rFonts w:ascii="Arial" w:hAnsi="Arial" w:cs="Arial"/>
        </w:rPr>
      </w:pPr>
    </w:p>
    <w:sectPr w:rsidR="00FE7A8C" w:rsidRPr="00D32599" w:rsidSect="004D3E5D">
      <w:headerReference w:type="default" r:id="rId24"/>
      <w:footerReference w:type="default" r:id="rId25"/>
      <w:pgSz w:w="12240" w:h="15840"/>
      <w:pgMar w:top="1097"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84" w:rsidRDefault="00915D84">
      <w:r>
        <w:separator/>
      </w:r>
    </w:p>
  </w:endnote>
  <w:endnote w:type="continuationSeparator" w:id="0">
    <w:p w:rsidR="00915D84" w:rsidRDefault="00915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B2" w:rsidRPr="00765AB2" w:rsidRDefault="00D32599" w:rsidP="00765AB2">
    <w:pPr>
      <w:pStyle w:val="Footer"/>
      <w:ind w:left="-426"/>
      <w:jc w:val="both"/>
      <w:rPr>
        <w:rFonts w:ascii="Arial" w:hAnsi="Arial" w:cs="Arial"/>
      </w:rPr>
    </w:pPr>
    <w:r>
      <w:tab/>
    </w:r>
    <w:r w:rsidR="00765AB2" w:rsidRPr="00765AB2">
      <w:rPr>
        <w:rFonts w:ascii="Arial" w:hAnsi="Arial" w:cs="Arial"/>
        <w:color w:val="7F7F7F" w:themeColor="background1" w:themeShade="7F"/>
        <w:spacing w:val="60"/>
      </w:rPr>
      <w:t>Page</w:t>
    </w:r>
    <w:r w:rsidR="00765AB2" w:rsidRPr="00765AB2">
      <w:rPr>
        <w:rFonts w:ascii="Arial" w:hAnsi="Arial" w:cs="Arial"/>
      </w:rPr>
      <w:t xml:space="preserve"> | </w:t>
    </w:r>
    <w:r w:rsidR="00765AB2" w:rsidRPr="00765AB2">
      <w:rPr>
        <w:rFonts w:ascii="Arial" w:hAnsi="Arial" w:cs="Arial"/>
      </w:rPr>
      <w:fldChar w:fldCharType="begin"/>
    </w:r>
    <w:r w:rsidR="00765AB2" w:rsidRPr="00765AB2">
      <w:rPr>
        <w:rFonts w:ascii="Arial" w:hAnsi="Arial" w:cs="Arial"/>
      </w:rPr>
      <w:instrText xml:space="preserve"> PAGE   \* MERGEFORMAT </w:instrText>
    </w:r>
    <w:r w:rsidR="00765AB2" w:rsidRPr="00765AB2">
      <w:rPr>
        <w:rFonts w:ascii="Arial" w:hAnsi="Arial" w:cs="Arial"/>
      </w:rPr>
      <w:fldChar w:fldCharType="separate"/>
    </w:r>
    <w:r w:rsidR="00765AB2" w:rsidRPr="00765AB2">
      <w:rPr>
        <w:rFonts w:ascii="Arial" w:hAnsi="Arial" w:cs="Arial"/>
        <w:b/>
        <w:noProof/>
      </w:rPr>
      <w:t>2</w:t>
    </w:r>
    <w:r w:rsidR="00765AB2" w:rsidRPr="00765AB2">
      <w:rPr>
        <w:rFonts w:ascii="Arial" w:hAnsi="Arial" w:cs="Arial"/>
      </w:rPr>
      <w:fldChar w:fldCharType="end"/>
    </w:r>
  </w:p>
  <w:p w:rsidR="00D32599" w:rsidRDefault="00D32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84" w:rsidRDefault="00915D84">
      <w:r>
        <w:separator/>
      </w:r>
    </w:p>
  </w:footnote>
  <w:footnote w:type="continuationSeparator" w:id="0">
    <w:p w:rsidR="00915D84" w:rsidRDefault="00915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5D" w:rsidRPr="004E5F32" w:rsidRDefault="004D3E5D" w:rsidP="004D3E5D">
    <w:pPr>
      <w:jc w:val="right"/>
      <w:rPr>
        <w:rFonts w:ascii="Arial" w:hAnsi="Arial" w:cs="Arial"/>
      </w:rPr>
    </w:pPr>
    <w:r w:rsidRPr="004E5F32">
      <w:rPr>
        <w:rFonts w:ascii="Arial" w:hAnsi="Arial" w:cs="Arial"/>
      </w:rPr>
      <w:t>2014-2020</w:t>
    </w:r>
    <w:r>
      <w:rPr>
        <w:rFonts w:ascii="Arial" w:hAnsi="Arial" w:cs="Arial"/>
      </w:rPr>
      <w:t xml:space="preserve"> </w:t>
    </w:r>
    <w:r w:rsidRPr="004E5F32">
      <w:rPr>
        <w:rFonts w:ascii="Arial" w:hAnsi="Arial" w:cs="Arial"/>
      </w:rPr>
      <w:t xml:space="preserve">ESIF Guidance Note 04: Fraud Risk Assessment </w:t>
    </w:r>
  </w:p>
  <w:p w:rsidR="00D32599" w:rsidRDefault="00D32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94B"/>
    <w:multiLevelType w:val="hybridMultilevel"/>
    <w:tmpl w:val="6F4412B4"/>
    <w:lvl w:ilvl="0" w:tplc="751C12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BD78B4"/>
    <w:multiLevelType w:val="hybridMultilevel"/>
    <w:tmpl w:val="0C30D022"/>
    <w:lvl w:ilvl="0" w:tplc="008675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5922"/>
    <w:multiLevelType w:val="hybridMultilevel"/>
    <w:tmpl w:val="7FA4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1C"/>
    <w:rsid w:val="000030B4"/>
    <w:rsid w:val="00005C9D"/>
    <w:rsid w:val="00007426"/>
    <w:rsid w:val="00007B74"/>
    <w:rsid w:val="00012B18"/>
    <w:rsid w:val="00013FEE"/>
    <w:rsid w:val="000238CF"/>
    <w:rsid w:val="00023FFA"/>
    <w:rsid w:val="00031F05"/>
    <w:rsid w:val="000321D2"/>
    <w:rsid w:val="000331BE"/>
    <w:rsid w:val="00033CAC"/>
    <w:rsid w:val="00041C27"/>
    <w:rsid w:val="00051F2F"/>
    <w:rsid w:val="00053532"/>
    <w:rsid w:val="0005476F"/>
    <w:rsid w:val="0005504A"/>
    <w:rsid w:val="000658EC"/>
    <w:rsid w:val="00066DC7"/>
    <w:rsid w:val="00076B28"/>
    <w:rsid w:val="000835A4"/>
    <w:rsid w:val="00085813"/>
    <w:rsid w:val="0008687D"/>
    <w:rsid w:val="00092FFC"/>
    <w:rsid w:val="00093A02"/>
    <w:rsid w:val="00093C79"/>
    <w:rsid w:val="00097CAB"/>
    <w:rsid w:val="000A181A"/>
    <w:rsid w:val="000A7171"/>
    <w:rsid w:val="000B5CF9"/>
    <w:rsid w:val="000B6348"/>
    <w:rsid w:val="000C0962"/>
    <w:rsid w:val="000C3747"/>
    <w:rsid w:val="000C450C"/>
    <w:rsid w:val="000D541E"/>
    <w:rsid w:val="000F6576"/>
    <w:rsid w:val="000F676A"/>
    <w:rsid w:val="000F6AD7"/>
    <w:rsid w:val="00102752"/>
    <w:rsid w:val="001056FA"/>
    <w:rsid w:val="0011086F"/>
    <w:rsid w:val="001150B8"/>
    <w:rsid w:val="00120F6C"/>
    <w:rsid w:val="00123071"/>
    <w:rsid w:val="00127379"/>
    <w:rsid w:val="00127467"/>
    <w:rsid w:val="001346EE"/>
    <w:rsid w:val="00136A12"/>
    <w:rsid w:val="00144331"/>
    <w:rsid w:val="00145421"/>
    <w:rsid w:val="00152903"/>
    <w:rsid w:val="00160291"/>
    <w:rsid w:val="001607AE"/>
    <w:rsid w:val="0016476F"/>
    <w:rsid w:val="00170C58"/>
    <w:rsid w:val="00173C75"/>
    <w:rsid w:val="001747D3"/>
    <w:rsid w:val="00175ED2"/>
    <w:rsid w:val="00176E12"/>
    <w:rsid w:val="00177B11"/>
    <w:rsid w:val="0018381A"/>
    <w:rsid w:val="0018395E"/>
    <w:rsid w:val="00184E26"/>
    <w:rsid w:val="0018563E"/>
    <w:rsid w:val="00190810"/>
    <w:rsid w:val="0019312A"/>
    <w:rsid w:val="00195334"/>
    <w:rsid w:val="001A5EC3"/>
    <w:rsid w:val="001A5FA3"/>
    <w:rsid w:val="001B1F96"/>
    <w:rsid w:val="001B3B1B"/>
    <w:rsid w:val="001B4560"/>
    <w:rsid w:val="001B755D"/>
    <w:rsid w:val="001C3A42"/>
    <w:rsid w:val="001D03B3"/>
    <w:rsid w:val="001D1528"/>
    <w:rsid w:val="001D64DC"/>
    <w:rsid w:val="001E2F71"/>
    <w:rsid w:val="001F4B58"/>
    <w:rsid w:val="001F5FF7"/>
    <w:rsid w:val="001F6893"/>
    <w:rsid w:val="00200582"/>
    <w:rsid w:val="0020604F"/>
    <w:rsid w:val="00210AC0"/>
    <w:rsid w:val="00211229"/>
    <w:rsid w:val="002117FA"/>
    <w:rsid w:val="002142C9"/>
    <w:rsid w:val="00221786"/>
    <w:rsid w:val="00222B66"/>
    <w:rsid w:val="00231E9F"/>
    <w:rsid w:val="00247E88"/>
    <w:rsid w:val="0027114D"/>
    <w:rsid w:val="00272791"/>
    <w:rsid w:val="00275A8A"/>
    <w:rsid w:val="00280C79"/>
    <w:rsid w:val="002917D0"/>
    <w:rsid w:val="002977AC"/>
    <w:rsid w:val="002A2201"/>
    <w:rsid w:val="002A33D4"/>
    <w:rsid w:val="002A4D91"/>
    <w:rsid w:val="002C1521"/>
    <w:rsid w:val="002C453D"/>
    <w:rsid w:val="002C701D"/>
    <w:rsid w:val="002D19E5"/>
    <w:rsid w:val="002D3DE7"/>
    <w:rsid w:val="002D7AA1"/>
    <w:rsid w:val="002E5EB1"/>
    <w:rsid w:val="002F2C4F"/>
    <w:rsid w:val="002F31E1"/>
    <w:rsid w:val="002F4E2E"/>
    <w:rsid w:val="002F5B02"/>
    <w:rsid w:val="00316777"/>
    <w:rsid w:val="00322449"/>
    <w:rsid w:val="003230B3"/>
    <w:rsid w:val="00327537"/>
    <w:rsid w:val="0033205C"/>
    <w:rsid w:val="00332E21"/>
    <w:rsid w:val="003365EE"/>
    <w:rsid w:val="00341669"/>
    <w:rsid w:val="003418BA"/>
    <w:rsid w:val="00345B9E"/>
    <w:rsid w:val="00356EA3"/>
    <w:rsid w:val="00362B08"/>
    <w:rsid w:val="0039683F"/>
    <w:rsid w:val="00397A62"/>
    <w:rsid w:val="00397AE6"/>
    <w:rsid w:val="003A1676"/>
    <w:rsid w:val="003B0E0F"/>
    <w:rsid w:val="003B3A4A"/>
    <w:rsid w:val="003C365C"/>
    <w:rsid w:val="003C6CEE"/>
    <w:rsid w:val="003C7FD5"/>
    <w:rsid w:val="003D492D"/>
    <w:rsid w:val="003D544B"/>
    <w:rsid w:val="003D6114"/>
    <w:rsid w:val="003D69D4"/>
    <w:rsid w:val="003E030F"/>
    <w:rsid w:val="003E49E6"/>
    <w:rsid w:val="003E5D1C"/>
    <w:rsid w:val="003E7759"/>
    <w:rsid w:val="003F0FAB"/>
    <w:rsid w:val="003F74F7"/>
    <w:rsid w:val="003F7D4B"/>
    <w:rsid w:val="00401CC0"/>
    <w:rsid w:val="00413FF2"/>
    <w:rsid w:val="00415E57"/>
    <w:rsid w:val="004169F9"/>
    <w:rsid w:val="0042183B"/>
    <w:rsid w:val="00424012"/>
    <w:rsid w:val="00426E85"/>
    <w:rsid w:val="00442651"/>
    <w:rsid w:val="004469BD"/>
    <w:rsid w:val="0045105A"/>
    <w:rsid w:val="004515B0"/>
    <w:rsid w:val="00452D8A"/>
    <w:rsid w:val="00456CBF"/>
    <w:rsid w:val="0047132E"/>
    <w:rsid w:val="00473817"/>
    <w:rsid w:val="00486862"/>
    <w:rsid w:val="004878DE"/>
    <w:rsid w:val="004908FD"/>
    <w:rsid w:val="004A02FD"/>
    <w:rsid w:val="004A1466"/>
    <w:rsid w:val="004A2184"/>
    <w:rsid w:val="004B0431"/>
    <w:rsid w:val="004B69F8"/>
    <w:rsid w:val="004B743D"/>
    <w:rsid w:val="004C13F9"/>
    <w:rsid w:val="004C1ED1"/>
    <w:rsid w:val="004C4510"/>
    <w:rsid w:val="004C7F75"/>
    <w:rsid w:val="004D3E5D"/>
    <w:rsid w:val="004D5CA5"/>
    <w:rsid w:val="004D7798"/>
    <w:rsid w:val="004D7F90"/>
    <w:rsid w:val="004E1C6C"/>
    <w:rsid w:val="004E5F32"/>
    <w:rsid w:val="004F156B"/>
    <w:rsid w:val="004F2734"/>
    <w:rsid w:val="004F3C10"/>
    <w:rsid w:val="004F4A2E"/>
    <w:rsid w:val="004F4A6F"/>
    <w:rsid w:val="00505896"/>
    <w:rsid w:val="0051390C"/>
    <w:rsid w:val="005141CB"/>
    <w:rsid w:val="005158B2"/>
    <w:rsid w:val="00520127"/>
    <w:rsid w:val="005201D3"/>
    <w:rsid w:val="0052290C"/>
    <w:rsid w:val="00524233"/>
    <w:rsid w:val="00532029"/>
    <w:rsid w:val="00540D70"/>
    <w:rsid w:val="00547820"/>
    <w:rsid w:val="00551C68"/>
    <w:rsid w:val="00557FB3"/>
    <w:rsid w:val="00562464"/>
    <w:rsid w:val="00565ED0"/>
    <w:rsid w:val="00566165"/>
    <w:rsid w:val="00571460"/>
    <w:rsid w:val="0057295B"/>
    <w:rsid w:val="00575E7A"/>
    <w:rsid w:val="00582638"/>
    <w:rsid w:val="005864A0"/>
    <w:rsid w:val="00590E9A"/>
    <w:rsid w:val="005918F6"/>
    <w:rsid w:val="0059333E"/>
    <w:rsid w:val="00593467"/>
    <w:rsid w:val="0059402E"/>
    <w:rsid w:val="005A0DC7"/>
    <w:rsid w:val="005A61A6"/>
    <w:rsid w:val="005B7600"/>
    <w:rsid w:val="005C0DBE"/>
    <w:rsid w:val="005D14C9"/>
    <w:rsid w:val="005D3F91"/>
    <w:rsid w:val="005E15D0"/>
    <w:rsid w:val="005E4DF8"/>
    <w:rsid w:val="005E69E7"/>
    <w:rsid w:val="005E7361"/>
    <w:rsid w:val="005F252D"/>
    <w:rsid w:val="005F4B23"/>
    <w:rsid w:val="005F76B8"/>
    <w:rsid w:val="00601DDB"/>
    <w:rsid w:val="006024F6"/>
    <w:rsid w:val="006033B9"/>
    <w:rsid w:val="006168FA"/>
    <w:rsid w:val="006206AB"/>
    <w:rsid w:val="00624508"/>
    <w:rsid w:val="0062785B"/>
    <w:rsid w:val="00635021"/>
    <w:rsid w:val="00636ECF"/>
    <w:rsid w:val="006373F7"/>
    <w:rsid w:val="00647C7E"/>
    <w:rsid w:val="00647E2F"/>
    <w:rsid w:val="0065524F"/>
    <w:rsid w:val="00656855"/>
    <w:rsid w:val="00657D53"/>
    <w:rsid w:val="00667126"/>
    <w:rsid w:val="0066726A"/>
    <w:rsid w:val="00671424"/>
    <w:rsid w:val="00671716"/>
    <w:rsid w:val="006829C4"/>
    <w:rsid w:val="00684138"/>
    <w:rsid w:val="00687009"/>
    <w:rsid w:val="006873C0"/>
    <w:rsid w:val="00694985"/>
    <w:rsid w:val="006A1DF1"/>
    <w:rsid w:val="006A2089"/>
    <w:rsid w:val="006A3021"/>
    <w:rsid w:val="006B0695"/>
    <w:rsid w:val="006B4B32"/>
    <w:rsid w:val="006C0F85"/>
    <w:rsid w:val="006C164C"/>
    <w:rsid w:val="006D15F2"/>
    <w:rsid w:val="006D6281"/>
    <w:rsid w:val="006E20FA"/>
    <w:rsid w:val="006E515D"/>
    <w:rsid w:val="006E70B8"/>
    <w:rsid w:val="006F4F62"/>
    <w:rsid w:val="006F79EE"/>
    <w:rsid w:val="007003AE"/>
    <w:rsid w:val="00700CBF"/>
    <w:rsid w:val="00704611"/>
    <w:rsid w:val="00705ECB"/>
    <w:rsid w:val="00712F9B"/>
    <w:rsid w:val="00724A37"/>
    <w:rsid w:val="00725010"/>
    <w:rsid w:val="00732ABC"/>
    <w:rsid w:val="007338CC"/>
    <w:rsid w:val="00740B87"/>
    <w:rsid w:val="00743E49"/>
    <w:rsid w:val="007444EF"/>
    <w:rsid w:val="007445A7"/>
    <w:rsid w:val="007509BC"/>
    <w:rsid w:val="00754E93"/>
    <w:rsid w:val="0075794D"/>
    <w:rsid w:val="00760F87"/>
    <w:rsid w:val="00761086"/>
    <w:rsid w:val="00761811"/>
    <w:rsid w:val="00761AEB"/>
    <w:rsid w:val="00763EA2"/>
    <w:rsid w:val="00764D62"/>
    <w:rsid w:val="00764FCE"/>
    <w:rsid w:val="00765AB2"/>
    <w:rsid w:val="0078171A"/>
    <w:rsid w:val="00781F75"/>
    <w:rsid w:val="00786764"/>
    <w:rsid w:val="00790657"/>
    <w:rsid w:val="00796725"/>
    <w:rsid w:val="00797C9F"/>
    <w:rsid w:val="007A1E17"/>
    <w:rsid w:val="007A3B4C"/>
    <w:rsid w:val="007A57DF"/>
    <w:rsid w:val="007A74DA"/>
    <w:rsid w:val="007B050B"/>
    <w:rsid w:val="007B2553"/>
    <w:rsid w:val="007B4AF1"/>
    <w:rsid w:val="007C1040"/>
    <w:rsid w:val="007C13F8"/>
    <w:rsid w:val="007C1580"/>
    <w:rsid w:val="007C2A04"/>
    <w:rsid w:val="007C4DC8"/>
    <w:rsid w:val="007C6B65"/>
    <w:rsid w:val="007D16AA"/>
    <w:rsid w:val="007D181A"/>
    <w:rsid w:val="007D1AFE"/>
    <w:rsid w:val="007D38A9"/>
    <w:rsid w:val="007F1421"/>
    <w:rsid w:val="007F708C"/>
    <w:rsid w:val="008022FE"/>
    <w:rsid w:val="00815D00"/>
    <w:rsid w:val="00822CDA"/>
    <w:rsid w:val="00822D03"/>
    <w:rsid w:val="008309F4"/>
    <w:rsid w:val="00831FBF"/>
    <w:rsid w:val="008439B5"/>
    <w:rsid w:val="0084706A"/>
    <w:rsid w:val="008503A6"/>
    <w:rsid w:val="0085159D"/>
    <w:rsid w:val="00853FFC"/>
    <w:rsid w:val="00870368"/>
    <w:rsid w:val="00872A9D"/>
    <w:rsid w:val="008736D2"/>
    <w:rsid w:val="00875642"/>
    <w:rsid w:val="0088160F"/>
    <w:rsid w:val="00891EB9"/>
    <w:rsid w:val="008A35FE"/>
    <w:rsid w:val="008B0793"/>
    <w:rsid w:val="008B36FF"/>
    <w:rsid w:val="008C0935"/>
    <w:rsid w:val="008C4D72"/>
    <w:rsid w:val="008C7500"/>
    <w:rsid w:val="008D197F"/>
    <w:rsid w:val="008E291F"/>
    <w:rsid w:val="008E2FD7"/>
    <w:rsid w:val="008F3C9D"/>
    <w:rsid w:val="009030BC"/>
    <w:rsid w:val="00906888"/>
    <w:rsid w:val="00906C4F"/>
    <w:rsid w:val="0090713D"/>
    <w:rsid w:val="00913CF7"/>
    <w:rsid w:val="00915D84"/>
    <w:rsid w:val="009176AA"/>
    <w:rsid w:val="00917D65"/>
    <w:rsid w:val="00932985"/>
    <w:rsid w:val="00933492"/>
    <w:rsid w:val="00934552"/>
    <w:rsid w:val="00935837"/>
    <w:rsid w:val="009404F2"/>
    <w:rsid w:val="00945ABD"/>
    <w:rsid w:val="00955FD6"/>
    <w:rsid w:val="00957A99"/>
    <w:rsid w:val="0097248B"/>
    <w:rsid w:val="00973AD8"/>
    <w:rsid w:val="00981609"/>
    <w:rsid w:val="009844AC"/>
    <w:rsid w:val="009845B5"/>
    <w:rsid w:val="009947FC"/>
    <w:rsid w:val="009978DA"/>
    <w:rsid w:val="009A2E42"/>
    <w:rsid w:val="009A3098"/>
    <w:rsid w:val="009A5056"/>
    <w:rsid w:val="009A6619"/>
    <w:rsid w:val="009B129D"/>
    <w:rsid w:val="009C418F"/>
    <w:rsid w:val="009C5508"/>
    <w:rsid w:val="009C57B0"/>
    <w:rsid w:val="009C7F9F"/>
    <w:rsid w:val="009D1116"/>
    <w:rsid w:val="009D1E4F"/>
    <w:rsid w:val="009D4DD8"/>
    <w:rsid w:val="009D5960"/>
    <w:rsid w:val="009E1EBA"/>
    <w:rsid w:val="009E3446"/>
    <w:rsid w:val="009E7B52"/>
    <w:rsid w:val="009F13FE"/>
    <w:rsid w:val="009F6BAB"/>
    <w:rsid w:val="009F7D1F"/>
    <w:rsid w:val="00A01AEE"/>
    <w:rsid w:val="00A02547"/>
    <w:rsid w:val="00A049D5"/>
    <w:rsid w:val="00A0740F"/>
    <w:rsid w:val="00A215D6"/>
    <w:rsid w:val="00A2534B"/>
    <w:rsid w:val="00A306E6"/>
    <w:rsid w:val="00A314EE"/>
    <w:rsid w:val="00A32D2A"/>
    <w:rsid w:val="00A3399E"/>
    <w:rsid w:val="00A34179"/>
    <w:rsid w:val="00A359D8"/>
    <w:rsid w:val="00A4007C"/>
    <w:rsid w:val="00A41B65"/>
    <w:rsid w:val="00A4253A"/>
    <w:rsid w:val="00A44BB5"/>
    <w:rsid w:val="00A61908"/>
    <w:rsid w:val="00A818BF"/>
    <w:rsid w:val="00A81CDA"/>
    <w:rsid w:val="00A93C5E"/>
    <w:rsid w:val="00A94EA9"/>
    <w:rsid w:val="00A95294"/>
    <w:rsid w:val="00A96568"/>
    <w:rsid w:val="00A970A3"/>
    <w:rsid w:val="00A9750F"/>
    <w:rsid w:val="00AA4741"/>
    <w:rsid w:val="00AB10AC"/>
    <w:rsid w:val="00AB3D38"/>
    <w:rsid w:val="00AC3094"/>
    <w:rsid w:val="00AC606F"/>
    <w:rsid w:val="00AD1804"/>
    <w:rsid w:val="00AD1983"/>
    <w:rsid w:val="00AD49B1"/>
    <w:rsid w:val="00AD6F96"/>
    <w:rsid w:val="00AD7892"/>
    <w:rsid w:val="00AE39E6"/>
    <w:rsid w:val="00AF337E"/>
    <w:rsid w:val="00AF37E0"/>
    <w:rsid w:val="00AF3D7E"/>
    <w:rsid w:val="00B02BA1"/>
    <w:rsid w:val="00B04E50"/>
    <w:rsid w:val="00B179B5"/>
    <w:rsid w:val="00B20379"/>
    <w:rsid w:val="00B3300A"/>
    <w:rsid w:val="00B34731"/>
    <w:rsid w:val="00B35D3B"/>
    <w:rsid w:val="00B43109"/>
    <w:rsid w:val="00B60EED"/>
    <w:rsid w:val="00B629AE"/>
    <w:rsid w:val="00B65457"/>
    <w:rsid w:val="00B70E67"/>
    <w:rsid w:val="00B75DE0"/>
    <w:rsid w:val="00B77803"/>
    <w:rsid w:val="00B81BF8"/>
    <w:rsid w:val="00B82BE4"/>
    <w:rsid w:val="00BA179F"/>
    <w:rsid w:val="00BA2B97"/>
    <w:rsid w:val="00BB18C5"/>
    <w:rsid w:val="00BB3C80"/>
    <w:rsid w:val="00BB43E9"/>
    <w:rsid w:val="00BB44A5"/>
    <w:rsid w:val="00BB554D"/>
    <w:rsid w:val="00BD2DD6"/>
    <w:rsid w:val="00BD4C8A"/>
    <w:rsid w:val="00BE22FB"/>
    <w:rsid w:val="00BE2F38"/>
    <w:rsid w:val="00BE5008"/>
    <w:rsid w:val="00BE5EC2"/>
    <w:rsid w:val="00BF3A38"/>
    <w:rsid w:val="00C01F44"/>
    <w:rsid w:val="00C06651"/>
    <w:rsid w:val="00C14092"/>
    <w:rsid w:val="00C21EA8"/>
    <w:rsid w:val="00C2326E"/>
    <w:rsid w:val="00C27238"/>
    <w:rsid w:val="00C34F2B"/>
    <w:rsid w:val="00C557D7"/>
    <w:rsid w:val="00C60F29"/>
    <w:rsid w:val="00C614AA"/>
    <w:rsid w:val="00C61C16"/>
    <w:rsid w:val="00C6670F"/>
    <w:rsid w:val="00C72635"/>
    <w:rsid w:val="00C8294F"/>
    <w:rsid w:val="00C869A7"/>
    <w:rsid w:val="00C907CB"/>
    <w:rsid w:val="00C971F1"/>
    <w:rsid w:val="00C975C1"/>
    <w:rsid w:val="00CA292B"/>
    <w:rsid w:val="00CA6B88"/>
    <w:rsid w:val="00CA7056"/>
    <w:rsid w:val="00CA7D9A"/>
    <w:rsid w:val="00CC6409"/>
    <w:rsid w:val="00CC7063"/>
    <w:rsid w:val="00CD244F"/>
    <w:rsid w:val="00CD46EA"/>
    <w:rsid w:val="00CD7CFF"/>
    <w:rsid w:val="00CE1E89"/>
    <w:rsid w:val="00CE2050"/>
    <w:rsid w:val="00CE42C0"/>
    <w:rsid w:val="00CF256A"/>
    <w:rsid w:val="00CF53B2"/>
    <w:rsid w:val="00D01FF7"/>
    <w:rsid w:val="00D04E39"/>
    <w:rsid w:val="00D05AAA"/>
    <w:rsid w:val="00D07250"/>
    <w:rsid w:val="00D15CCC"/>
    <w:rsid w:val="00D16BC2"/>
    <w:rsid w:val="00D179E0"/>
    <w:rsid w:val="00D23F22"/>
    <w:rsid w:val="00D31523"/>
    <w:rsid w:val="00D32599"/>
    <w:rsid w:val="00D329B3"/>
    <w:rsid w:val="00D4288A"/>
    <w:rsid w:val="00D62137"/>
    <w:rsid w:val="00D72B09"/>
    <w:rsid w:val="00D748AA"/>
    <w:rsid w:val="00D74F24"/>
    <w:rsid w:val="00D76576"/>
    <w:rsid w:val="00D861C4"/>
    <w:rsid w:val="00D86B06"/>
    <w:rsid w:val="00D91A88"/>
    <w:rsid w:val="00D95965"/>
    <w:rsid w:val="00DA03C6"/>
    <w:rsid w:val="00DA0977"/>
    <w:rsid w:val="00DA4E9F"/>
    <w:rsid w:val="00DA5E16"/>
    <w:rsid w:val="00DA68FD"/>
    <w:rsid w:val="00DA7731"/>
    <w:rsid w:val="00DB5AC2"/>
    <w:rsid w:val="00DD32E2"/>
    <w:rsid w:val="00DD4241"/>
    <w:rsid w:val="00DD5E06"/>
    <w:rsid w:val="00DD6655"/>
    <w:rsid w:val="00DE07C5"/>
    <w:rsid w:val="00DE0DBA"/>
    <w:rsid w:val="00DE71EA"/>
    <w:rsid w:val="00DF2138"/>
    <w:rsid w:val="00E0010C"/>
    <w:rsid w:val="00E013D7"/>
    <w:rsid w:val="00E07251"/>
    <w:rsid w:val="00E1093D"/>
    <w:rsid w:val="00E10B8B"/>
    <w:rsid w:val="00E21192"/>
    <w:rsid w:val="00E2600A"/>
    <w:rsid w:val="00E311F8"/>
    <w:rsid w:val="00E35268"/>
    <w:rsid w:val="00E44600"/>
    <w:rsid w:val="00E57288"/>
    <w:rsid w:val="00E57FD0"/>
    <w:rsid w:val="00E605C9"/>
    <w:rsid w:val="00E7494B"/>
    <w:rsid w:val="00E76B12"/>
    <w:rsid w:val="00E830B0"/>
    <w:rsid w:val="00E87D25"/>
    <w:rsid w:val="00E91B44"/>
    <w:rsid w:val="00E91BDC"/>
    <w:rsid w:val="00E93542"/>
    <w:rsid w:val="00E94DA2"/>
    <w:rsid w:val="00EA1D51"/>
    <w:rsid w:val="00EB759B"/>
    <w:rsid w:val="00ED10C3"/>
    <w:rsid w:val="00ED25E3"/>
    <w:rsid w:val="00ED4788"/>
    <w:rsid w:val="00EE1C43"/>
    <w:rsid w:val="00EE670A"/>
    <w:rsid w:val="00F06878"/>
    <w:rsid w:val="00F11516"/>
    <w:rsid w:val="00F13253"/>
    <w:rsid w:val="00F144D7"/>
    <w:rsid w:val="00F30079"/>
    <w:rsid w:val="00F36C5E"/>
    <w:rsid w:val="00F37592"/>
    <w:rsid w:val="00F428EC"/>
    <w:rsid w:val="00F43752"/>
    <w:rsid w:val="00F512DA"/>
    <w:rsid w:val="00F56884"/>
    <w:rsid w:val="00F60D7C"/>
    <w:rsid w:val="00F70AF4"/>
    <w:rsid w:val="00F7643B"/>
    <w:rsid w:val="00F83A2E"/>
    <w:rsid w:val="00F86171"/>
    <w:rsid w:val="00F8785A"/>
    <w:rsid w:val="00F92FE2"/>
    <w:rsid w:val="00F966CA"/>
    <w:rsid w:val="00FA28CC"/>
    <w:rsid w:val="00FA294B"/>
    <w:rsid w:val="00FA45BD"/>
    <w:rsid w:val="00FA67BF"/>
    <w:rsid w:val="00FB0170"/>
    <w:rsid w:val="00FB037F"/>
    <w:rsid w:val="00FB0F52"/>
    <w:rsid w:val="00FB3D52"/>
    <w:rsid w:val="00FC55ED"/>
    <w:rsid w:val="00FD38CB"/>
    <w:rsid w:val="00FD435B"/>
    <w:rsid w:val="00FD72F9"/>
    <w:rsid w:val="00FE7A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1A"/>
    <w:rPr>
      <w:sz w:val="24"/>
      <w:szCs w:val="24"/>
    </w:rPr>
  </w:style>
  <w:style w:type="paragraph" w:styleId="Heading1">
    <w:name w:val="heading 1"/>
    <w:basedOn w:val="Normal"/>
    <w:next w:val="Normal"/>
    <w:link w:val="Heading1Char"/>
    <w:uiPriority w:val="99"/>
    <w:qFormat/>
    <w:rsid w:val="00C6670F"/>
    <w:pPr>
      <w:keepNext/>
      <w:tabs>
        <w:tab w:val="left" w:pos="1276"/>
      </w:tabs>
      <w:outlineLvl w:val="0"/>
    </w:pPr>
    <w:rPr>
      <w:rFonts w:ascii="Brush Script" w:hAnsi="Brush Script" w:cs="Arial"/>
      <w:b/>
      <w:bCs/>
      <w:szCs w:val="20"/>
      <w:lang w:eastAsia="en-US"/>
    </w:rPr>
  </w:style>
  <w:style w:type="paragraph" w:styleId="Heading2">
    <w:name w:val="heading 2"/>
    <w:basedOn w:val="Normal"/>
    <w:next w:val="Normal"/>
    <w:link w:val="Heading2Char"/>
    <w:uiPriority w:val="99"/>
    <w:qFormat/>
    <w:rsid w:val="00C6670F"/>
    <w:pPr>
      <w:keepNext/>
      <w:outlineLvl w:val="1"/>
    </w:pPr>
    <w:rPr>
      <w:rFonts w:ascii="Arial" w:hAnsi="Arial" w:cs="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D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2D03"/>
    <w:rPr>
      <w:rFonts w:ascii="Cambria" w:hAnsi="Cambria" w:cs="Times New Roman"/>
      <w:b/>
      <w:bCs/>
      <w:i/>
      <w:iCs/>
      <w:sz w:val="28"/>
      <w:szCs w:val="28"/>
    </w:rPr>
  </w:style>
  <w:style w:type="character" w:styleId="Hyperlink">
    <w:name w:val="Hyperlink"/>
    <w:basedOn w:val="DefaultParagraphFont"/>
    <w:uiPriority w:val="99"/>
    <w:rsid w:val="001A5EC3"/>
    <w:rPr>
      <w:rFonts w:cs="Times New Roman"/>
      <w:color w:val="0000FF"/>
      <w:u w:val="single"/>
    </w:rPr>
  </w:style>
  <w:style w:type="character" w:styleId="FollowedHyperlink">
    <w:name w:val="FollowedHyperlink"/>
    <w:basedOn w:val="DefaultParagraphFont"/>
    <w:uiPriority w:val="99"/>
    <w:rsid w:val="00EA1D51"/>
    <w:rPr>
      <w:rFonts w:cs="Times New Roman"/>
      <w:color w:val="800080"/>
      <w:u w:val="single"/>
    </w:rPr>
  </w:style>
  <w:style w:type="paragraph" w:customStyle="1" w:styleId="Style1">
    <w:name w:val="Style1"/>
    <w:basedOn w:val="Normal"/>
    <w:uiPriority w:val="99"/>
    <w:rsid w:val="00C975C1"/>
    <w:rPr>
      <w:rFonts w:ascii="Brush Script MT" w:hAnsi="Brush Script MT" w:cs="Arial"/>
    </w:rPr>
  </w:style>
  <w:style w:type="paragraph" w:styleId="BalloonText">
    <w:name w:val="Balloon Text"/>
    <w:basedOn w:val="Normal"/>
    <w:link w:val="BalloonTextChar"/>
    <w:uiPriority w:val="99"/>
    <w:semiHidden/>
    <w:rsid w:val="006714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D03"/>
    <w:rPr>
      <w:rFonts w:cs="Times New Roman"/>
      <w:sz w:val="2"/>
    </w:rPr>
  </w:style>
  <w:style w:type="paragraph" w:styleId="Caption">
    <w:name w:val="caption"/>
    <w:basedOn w:val="Normal"/>
    <w:next w:val="Normal"/>
    <w:uiPriority w:val="99"/>
    <w:qFormat/>
    <w:rsid w:val="00C6670F"/>
    <w:rPr>
      <w:rFonts w:ascii="Verdana" w:hAnsi="Verdana" w:cs="Arial"/>
      <w:szCs w:val="20"/>
      <w:lang w:eastAsia="en-US"/>
    </w:rPr>
  </w:style>
  <w:style w:type="paragraph" w:styleId="BodyText">
    <w:name w:val="Body Text"/>
    <w:basedOn w:val="Normal"/>
    <w:link w:val="BodyTextChar"/>
    <w:uiPriority w:val="99"/>
    <w:rsid w:val="009030BC"/>
    <w:pPr>
      <w:tabs>
        <w:tab w:val="left" w:pos="1276"/>
      </w:tabs>
      <w:spacing w:line="360" w:lineRule="auto"/>
    </w:pPr>
    <w:rPr>
      <w:rFonts w:ascii="Arial" w:hAnsi="Arial" w:cs="Arial"/>
      <w:szCs w:val="20"/>
      <w:lang w:eastAsia="en-US"/>
    </w:rPr>
  </w:style>
  <w:style w:type="character" w:customStyle="1" w:styleId="BodyTextChar">
    <w:name w:val="Body Text Char"/>
    <w:basedOn w:val="DefaultParagraphFont"/>
    <w:link w:val="BodyText"/>
    <w:uiPriority w:val="99"/>
    <w:semiHidden/>
    <w:locked/>
    <w:rsid w:val="00822D03"/>
    <w:rPr>
      <w:rFonts w:cs="Times New Roman"/>
      <w:sz w:val="24"/>
      <w:szCs w:val="24"/>
    </w:rPr>
  </w:style>
  <w:style w:type="paragraph" w:customStyle="1" w:styleId="DefaultText">
    <w:name w:val="Default Text"/>
    <w:basedOn w:val="Normal"/>
    <w:rsid w:val="009030BC"/>
    <w:pPr>
      <w:autoSpaceDE w:val="0"/>
      <w:autoSpaceDN w:val="0"/>
      <w:adjustRightInd w:val="0"/>
      <w:jc w:val="both"/>
    </w:pPr>
    <w:rPr>
      <w:rFonts w:ascii="Arial" w:hAnsi="Arial"/>
      <w:szCs w:val="20"/>
      <w:lang w:eastAsia="en-US"/>
    </w:rPr>
  </w:style>
  <w:style w:type="paragraph" w:customStyle="1" w:styleId="msolistparagraph0">
    <w:name w:val="msolistparagraph"/>
    <w:basedOn w:val="Normal"/>
    <w:uiPriority w:val="99"/>
    <w:rsid w:val="00ED4788"/>
    <w:pPr>
      <w:ind w:left="720"/>
    </w:pPr>
  </w:style>
  <w:style w:type="paragraph" w:styleId="FootnoteText">
    <w:name w:val="footnote text"/>
    <w:aliases w:val="Footnote Text Char Char,Footnote Text Char1 Char Char,Footnote Text Char Char Char Char,Footnote Text Char1 Char,Footnote Text Char Char Char,Footnote Text Char Char Char Char Char Char Char Char,Footnote"/>
    <w:basedOn w:val="Normal"/>
    <w:link w:val="FootnoteTextChar"/>
    <w:semiHidden/>
    <w:rsid w:val="0033205C"/>
    <w:rPr>
      <w:sz w:val="20"/>
      <w:szCs w:val="20"/>
    </w:rPr>
  </w:style>
  <w:style w:type="character" w:customStyle="1" w:styleId="FootnoteTextChar">
    <w:name w:val="Footnote Text Char"/>
    <w:aliases w:val="Footnote Text Char Char Char1,Footnote Text Char1 Char Char Char,Footnote Text Char Char Char Char Char,Footnote Text Char1 Char Char1,Footnote Text Char Char Char Char1,Footnote Text Char Char Char Char Char Char Char Char Char"/>
    <w:basedOn w:val="DefaultParagraphFont"/>
    <w:link w:val="FootnoteText"/>
    <w:semiHidden/>
    <w:locked/>
    <w:rsid w:val="00822D03"/>
    <w:rPr>
      <w:rFonts w:cs="Times New Roman"/>
      <w:sz w:val="20"/>
      <w:szCs w:val="20"/>
    </w:rPr>
  </w:style>
  <w:style w:type="character" w:styleId="FootnoteReference">
    <w:name w:val="footnote reference"/>
    <w:aliases w:val="Signature Char,Char Char Char Char Char Char Char Char Char Char Char Char Char Char Char Char Char Char Char Char,Char Char Char Char Char Char Char Char Char Char Char Char Char Char Char Char Char Char Char Char Char Char Char"/>
    <w:basedOn w:val="DefaultParagraphFont"/>
    <w:semiHidden/>
    <w:rsid w:val="0033205C"/>
    <w:rPr>
      <w:rFonts w:cs="Times New Roman"/>
      <w:vertAlign w:val="superscript"/>
    </w:rPr>
  </w:style>
  <w:style w:type="paragraph" w:styleId="ListParagraph">
    <w:name w:val="List Paragraph"/>
    <w:basedOn w:val="Normal"/>
    <w:uiPriority w:val="34"/>
    <w:qFormat/>
    <w:rsid w:val="00CE42C0"/>
    <w:pPr>
      <w:ind w:left="720"/>
    </w:pPr>
  </w:style>
  <w:style w:type="paragraph" w:customStyle="1" w:styleId="Default">
    <w:name w:val="Default"/>
    <w:rsid w:val="0050589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505896"/>
    <w:rPr>
      <w:rFonts w:cs="Times New Roman"/>
      <w:color w:val="auto"/>
    </w:rPr>
  </w:style>
  <w:style w:type="paragraph" w:customStyle="1" w:styleId="CM3">
    <w:name w:val="CM3"/>
    <w:basedOn w:val="Default"/>
    <w:next w:val="Default"/>
    <w:uiPriority w:val="99"/>
    <w:rsid w:val="00505896"/>
    <w:rPr>
      <w:rFonts w:cs="Times New Roman"/>
      <w:color w:val="auto"/>
    </w:rPr>
  </w:style>
  <w:style w:type="table" w:styleId="TableGrid">
    <w:name w:val="Table Grid"/>
    <w:basedOn w:val="TableNormal"/>
    <w:locked/>
    <w:rsid w:val="004E5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2599"/>
    <w:pPr>
      <w:tabs>
        <w:tab w:val="center" w:pos="4513"/>
        <w:tab w:val="right" w:pos="9026"/>
      </w:tabs>
    </w:pPr>
  </w:style>
  <w:style w:type="character" w:customStyle="1" w:styleId="HeaderChar">
    <w:name w:val="Header Char"/>
    <w:basedOn w:val="DefaultParagraphFont"/>
    <w:link w:val="Header"/>
    <w:uiPriority w:val="99"/>
    <w:semiHidden/>
    <w:rsid w:val="00D32599"/>
    <w:rPr>
      <w:sz w:val="24"/>
      <w:szCs w:val="24"/>
    </w:rPr>
  </w:style>
  <w:style w:type="paragraph" w:styleId="Footer">
    <w:name w:val="footer"/>
    <w:basedOn w:val="Normal"/>
    <w:link w:val="FooterChar"/>
    <w:uiPriority w:val="99"/>
    <w:unhideWhenUsed/>
    <w:rsid w:val="00D32599"/>
    <w:pPr>
      <w:tabs>
        <w:tab w:val="center" w:pos="4513"/>
        <w:tab w:val="right" w:pos="9026"/>
      </w:tabs>
    </w:pPr>
  </w:style>
  <w:style w:type="character" w:customStyle="1" w:styleId="FooterChar">
    <w:name w:val="Footer Char"/>
    <w:basedOn w:val="DefaultParagraphFont"/>
    <w:link w:val="Footer"/>
    <w:uiPriority w:val="99"/>
    <w:rsid w:val="00D32599"/>
    <w:rPr>
      <w:sz w:val="24"/>
      <w:szCs w:val="24"/>
    </w:rPr>
  </w:style>
</w:styles>
</file>

<file path=word/webSettings.xml><?xml version="1.0" encoding="utf-8"?>
<w:webSettings xmlns:r="http://schemas.openxmlformats.org/officeDocument/2006/relationships" xmlns:w="http://schemas.openxmlformats.org/wordprocessingml/2006/main">
  <w:divs>
    <w:div w:id="630789989">
      <w:bodyDiv w:val="1"/>
      <w:marLeft w:val="0"/>
      <w:marRight w:val="0"/>
      <w:marTop w:val="0"/>
      <w:marBottom w:val="0"/>
      <w:divBdr>
        <w:top w:val="none" w:sz="0" w:space="0" w:color="auto"/>
        <w:left w:val="none" w:sz="0" w:space="0" w:color="auto"/>
        <w:bottom w:val="none" w:sz="0" w:space="0" w:color="auto"/>
        <w:right w:val="none" w:sz="0" w:space="0" w:color="auto"/>
      </w:divBdr>
    </w:div>
    <w:div w:id="715081135">
      <w:bodyDiv w:val="1"/>
      <w:marLeft w:val="0"/>
      <w:marRight w:val="0"/>
      <w:marTop w:val="0"/>
      <w:marBottom w:val="0"/>
      <w:divBdr>
        <w:top w:val="none" w:sz="0" w:space="0" w:color="auto"/>
        <w:left w:val="none" w:sz="0" w:space="0" w:color="auto"/>
        <w:bottom w:val="none" w:sz="0" w:space="0" w:color="auto"/>
        <w:right w:val="none" w:sz="0" w:space="0" w:color="auto"/>
      </w:divBdr>
    </w:div>
    <w:div w:id="1087457278">
      <w:bodyDiv w:val="1"/>
      <w:marLeft w:val="0"/>
      <w:marRight w:val="0"/>
      <w:marTop w:val="0"/>
      <w:marBottom w:val="0"/>
      <w:divBdr>
        <w:top w:val="none" w:sz="0" w:space="0" w:color="auto"/>
        <w:left w:val="none" w:sz="0" w:space="0" w:color="auto"/>
        <w:bottom w:val="none" w:sz="0" w:space="0" w:color="auto"/>
        <w:right w:val="none" w:sz="0" w:space="0" w:color="auto"/>
      </w:divBdr>
    </w:div>
    <w:div w:id="1545100872">
      <w:bodyDiv w:val="1"/>
      <w:marLeft w:val="0"/>
      <w:marRight w:val="0"/>
      <w:marTop w:val="0"/>
      <w:marBottom w:val="0"/>
      <w:divBdr>
        <w:top w:val="none" w:sz="0" w:space="0" w:color="auto"/>
        <w:left w:val="none" w:sz="0" w:space="0" w:color="auto"/>
        <w:bottom w:val="none" w:sz="0" w:space="0" w:color="auto"/>
        <w:right w:val="none" w:sz="0" w:space="0" w:color="auto"/>
      </w:divBdr>
    </w:div>
    <w:div w:id="1647272136">
      <w:bodyDiv w:val="1"/>
      <w:marLeft w:val="0"/>
      <w:marRight w:val="0"/>
      <w:marTop w:val="0"/>
      <w:marBottom w:val="0"/>
      <w:divBdr>
        <w:top w:val="none" w:sz="0" w:space="0" w:color="auto"/>
        <w:left w:val="none" w:sz="0" w:space="0" w:color="auto"/>
        <w:bottom w:val="none" w:sz="0" w:space="0" w:color="auto"/>
        <w:right w:val="none" w:sz="0" w:space="0" w:color="auto"/>
      </w:divBdr>
    </w:div>
    <w:div w:id="1684815465">
      <w:marLeft w:val="0"/>
      <w:marRight w:val="0"/>
      <w:marTop w:val="0"/>
      <w:marBottom w:val="0"/>
      <w:divBdr>
        <w:top w:val="none" w:sz="0" w:space="0" w:color="auto"/>
        <w:left w:val="none" w:sz="0" w:space="0" w:color="auto"/>
        <w:bottom w:val="none" w:sz="0" w:space="0" w:color="auto"/>
        <w:right w:val="none" w:sz="0" w:space="0" w:color="auto"/>
      </w:divBdr>
    </w:div>
    <w:div w:id="1684815466">
      <w:marLeft w:val="0"/>
      <w:marRight w:val="0"/>
      <w:marTop w:val="0"/>
      <w:marBottom w:val="0"/>
      <w:divBdr>
        <w:top w:val="none" w:sz="0" w:space="0" w:color="auto"/>
        <w:left w:val="none" w:sz="0" w:space="0" w:color="auto"/>
        <w:bottom w:val="none" w:sz="0" w:space="0" w:color="auto"/>
        <w:right w:val="none" w:sz="0" w:space="0" w:color="auto"/>
      </w:divBdr>
    </w:div>
    <w:div w:id="1684815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ni.gov.uk/index/finance/afmd/afmd-key-guidance/afmd-mpmni/a_4_7_further_revised_10_12_12_fraud.pdf" TargetMode="External"/><Relationship Id="rId13" Type="http://schemas.openxmlformats.org/officeDocument/2006/relationships/image" Target="media/image3.emf"/><Relationship Id="rId18" Type="http://schemas.openxmlformats.org/officeDocument/2006/relationships/oleObject" Target="embeddings/Microsoft_Office_Word_97_-_2003_Document2.doc"/><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regional_policy/information/index_en.cfm" TargetMode="Externa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Word_Document3.docx"/><Relationship Id="rId20" Type="http://schemas.openxmlformats.org/officeDocument/2006/relationships/package" Target="embeddings/Microsoft_Office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ec.europa.eu/regional_policy/information/guidelines/index_en.cfm" TargetMode="External"/><Relationship Id="rId10" Type="http://schemas.openxmlformats.org/officeDocument/2006/relationships/oleObject" Target="embeddings/Microsoft_Office_Word_97_-_2003_Document1.doc"/><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Word_Document2.docx"/><Relationship Id="rId22" Type="http://schemas.openxmlformats.org/officeDocument/2006/relationships/hyperlink" Target="http://ec.europa.eu/regional_policy/what/future/experts_training_en.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7A603-DEA4-4E4F-AC15-8076FA50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3086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N.I.C.S</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0582625</dc:creator>
  <cp:keywords/>
  <dc:description/>
  <cp:lastModifiedBy>Ryan Donaldson</cp:lastModifiedBy>
  <cp:revision>9</cp:revision>
  <cp:lastPrinted>2014-10-22T14:56:00Z</cp:lastPrinted>
  <dcterms:created xsi:type="dcterms:W3CDTF">2014-10-23T09:33:00Z</dcterms:created>
  <dcterms:modified xsi:type="dcterms:W3CDTF">2015-06-02T13:27:00Z</dcterms:modified>
</cp:coreProperties>
</file>