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4" w:type="dxa"/>
        <w:tblInd w:w="-929" w:type="dxa"/>
        <w:tblCellMar>
          <w:top w:w="5" w:type="dxa"/>
          <w:left w:w="108" w:type="dxa"/>
          <w:right w:w="38" w:type="dxa"/>
        </w:tblCellMar>
        <w:tblLook w:val="04A0" w:firstRow="1" w:lastRow="0" w:firstColumn="1" w:lastColumn="0" w:noHBand="0" w:noVBand="1"/>
        <w:tblDescription w:val="Overview and Objectives of IGJ Programme"/>
      </w:tblPr>
      <w:tblGrid>
        <w:gridCol w:w="2721"/>
        <w:gridCol w:w="8163"/>
      </w:tblGrid>
      <w:tr w:rsidR="00A349AF" w:rsidRPr="004458A1" w14:paraId="35C12F60" w14:textId="77777777" w:rsidTr="007B75E2">
        <w:trPr>
          <w:trHeight w:val="139"/>
          <w:tblHeader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9F322" w14:textId="77777777" w:rsidR="00A349AF" w:rsidRPr="004458A1" w:rsidRDefault="00A349AF" w:rsidP="007B75E2">
            <w:pPr>
              <w:pStyle w:val="NoSpacing"/>
            </w:pPr>
          </w:p>
        </w:tc>
      </w:tr>
      <w:tr w:rsidR="00A349AF" w14:paraId="3368815D" w14:textId="77777777" w:rsidTr="007B75E2">
        <w:trPr>
          <w:trHeight w:val="225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4F6A" w14:textId="77777777" w:rsidR="00A349AF" w:rsidRDefault="00A349AF" w:rsidP="007B75E2">
            <w:pPr>
              <w:ind w:right="170"/>
              <w:jc w:val="center"/>
            </w:pPr>
            <w:r>
              <w:rPr>
                <w:noProof/>
              </w:rPr>
              <w:drawing>
                <wp:inline distT="0" distB="0" distL="0" distR="0" wp14:anchorId="67FDF039" wp14:editId="13F5A1E3">
                  <wp:extent cx="893369" cy="1236980"/>
                  <wp:effectExtent l="0" t="0" r="2540" b="1270"/>
                  <wp:docPr id="241" name="Picture 241" descr="European Union Logo" title="E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369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71AB" w14:textId="77777777" w:rsidR="00A349AF" w:rsidRDefault="00A349AF" w:rsidP="007B75E2">
            <w:pPr>
              <w:ind w:right="141"/>
              <w:jc w:val="center"/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</w:pPr>
            <w:r w:rsidRPr="00D85D0A"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>Investment for Growt</w:t>
            </w:r>
            <w:r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 xml:space="preserve">h </w:t>
            </w:r>
            <w:r w:rsidRPr="009262D0">
              <w:rPr>
                <w:rFonts w:ascii="Trebuchet MS" w:eastAsia="Trebuchet MS" w:hAnsi="Trebuchet MS" w:cs="Trebuchet MS"/>
                <w:color w:val="1F4E79" w:themeColor="accent1" w:themeShade="80"/>
                <w:sz w:val="52"/>
                <w:szCs w:val="52"/>
              </w:rPr>
              <w:t xml:space="preserve">and </w:t>
            </w:r>
            <w:r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>Jobs Programme 2014-2020</w:t>
            </w:r>
          </w:p>
          <w:p w14:paraId="16F796FF" w14:textId="00160E61" w:rsidR="00A349AF" w:rsidRPr="00C9084F" w:rsidRDefault="00A349AF" w:rsidP="007B75E2">
            <w:pPr>
              <w:ind w:right="141"/>
              <w:jc w:val="center"/>
              <w:rPr>
                <w:color w:val="1F4E79" w:themeColor="accent1" w:themeShade="80"/>
              </w:rPr>
            </w:pPr>
            <w:r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>Citizens Summary 202</w:t>
            </w:r>
            <w:r w:rsidR="007D155F"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>1</w:t>
            </w:r>
          </w:p>
        </w:tc>
      </w:tr>
      <w:tr w:rsidR="00A349AF" w14:paraId="310019CC" w14:textId="77777777" w:rsidTr="007B75E2">
        <w:trPr>
          <w:trHeight w:val="150"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7A6A0" w14:textId="77777777" w:rsidR="00A349AF" w:rsidRPr="005306F9" w:rsidRDefault="00A349AF" w:rsidP="007B75E2">
            <w:pPr>
              <w:rPr>
                <w:rFonts w:eastAsia="Trebuchet MS"/>
                <w:color w:val="0066CC"/>
                <w:sz w:val="24"/>
                <w:szCs w:val="24"/>
              </w:rPr>
            </w:pPr>
          </w:p>
        </w:tc>
      </w:tr>
      <w:tr w:rsidR="00A349AF" w14:paraId="047830DF" w14:textId="77777777" w:rsidTr="007B75E2">
        <w:trPr>
          <w:trHeight w:val="1257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807F" w14:textId="77777777" w:rsidR="00A349AF" w:rsidRDefault="00A349AF" w:rsidP="007B75E2">
            <w:pPr>
              <w:spacing w:after="35"/>
              <w:rPr>
                <w:rFonts w:ascii="Verdana" w:eastAsia="Trebuchet MS" w:hAnsi="Verdana" w:cs="Trebuchet MS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eastAsia="Trebuchet MS" w:hAnsi="Verdana" w:cs="Trebuchet MS"/>
                <w:b/>
                <w:color w:val="1F4E79" w:themeColor="accent1" w:themeShade="80"/>
                <w:sz w:val="20"/>
                <w:szCs w:val="20"/>
              </w:rPr>
              <w:t>In This Issue</w:t>
            </w:r>
          </w:p>
          <w:p w14:paraId="1E507CBA" w14:textId="77777777" w:rsidR="00A349AF" w:rsidRPr="00EA4D0E" w:rsidRDefault="00A349AF" w:rsidP="007B75E2">
            <w:pPr>
              <w:spacing w:after="35"/>
              <w:rPr>
                <w:rFonts w:ascii="Verdana" w:hAnsi="Verdana"/>
                <w:b/>
                <w:color w:val="1F4E79" w:themeColor="accent1" w:themeShade="80"/>
                <w:sz w:val="8"/>
                <w:szCs w:val="8"/>
              </w:rPr>
            </w:pPr>
          </w:p>
          <w:p w14:paraId="10CDB753" w14:textId="77777777" w:rsidR="00A349AF" w:rsidRPr="00D85D0A" w:rsidRDefault="00A349AF" w:rsidP="007B75E2">
            <w:pPr>
              <w:numPr>
                <w:ilvl w:val="0"/>
                <w:numId w:val="1"/>
              </w:numPr>
              <w:spacing w:after="131"/>
              <w:ind w:hanging="216"/>
              <w:rPr>
                <w:color w:val="1F4E79" w:themeColor="accent1" w:themeShade="80"/>
              </w:rPr>
            </w:pPr>
            <w:r w:rsidRPr="00D85D0A">
              <w:rPr>
                <w:rFonts w:ascii="Verdana" w:eastAsia="Verdana" w:hAnsi="Verdana" w:cs="Verdana"/>
                <w:color w:val="1F4E79" w:themeColor="accent1" w:themeShade="80"/>
                <w:sz w:val="20"/>
              </w:rPr>
              <w:t xml:space="preserve">What is ERDF? </w:t>
            </w:r>
          </w:p>
          <w:p w14:paraId="3EFEB721" w14:textId="77777777" w:rsidR="00A349AF" w:rsidRPr="00D85D0A" w:rsidRDefault="00A349AF" w:rsidP="007B75E2">
            <w:pPr>
              <w:numPr>
                <w:ilvl w:val="0"/>
                <w:numId w:val="1"/>
              </w:numPr>
              <w:spacing w:after="146" w:line="242" w:lineRule="auto"/>
              <w:ind w:hanging="216"/>
              <w:rPr>
                <w:color w:val="1F4E79" w:themeColor="accent1" w:themeShade="80"/>
              </w:rPr>
            </w:pPr>
            <w:r w:rsidRPr="00D85D0A">
              <w:rPr>
                <w:rFonts w:ascii="Verdana" w:eastAsia="Verdana" w:hAnsi="Verdana" w:cs="Verdana"/>
                <w:color w:val="1F4E79" w:themeColor="accent1" w:themeShade="80"/>
                <w:sz w:val="20"/>
              </w:rPr>
              <w:t>Objectives</w:t>
            </w:r>
          </w:p>
          <w:p w14:paraId="4CC44DDF" w14:textId="77777777" w:rsidR="00A349AF" w:rsidRPr="00D85D0A" w:rsidRDefault="00A349AF" w:rsidP="007B75E2">
            <w:pPr>
              <w:numPr>
                <w:ilvl w:val="0"/>
                <w:numId w:val="1"/>
              </w:numPr>
              <w:spacing w:after="106"/>
              <w:ind w:hanging="216"/>
              <w:rPr>
                <w:color w:val="1F4E79" w:themeColor="accent1" w:themeShade="80"/>
              </w:rPr>
            </w:pPr>
            <w:r w:rsidRPr="00D85D0A">
              <w:rPr>
                <w:rFonts w:ascii="Verdana" w:eastAsia="Verdana" w:hAnsi="Verdana" w:cs="Verdana"/>
                <w:color w:val="1F4E79" w:themeColor="accent1" w:themeShade="80"/>
                <w:sz w:val="20"/>
              </w:rPr>
              <w:t xml:space="preserve">Press Releases </w:t>
            </w:r>
          </w:p>
          <w:p w14:paraId="21EC3888" w14:textId="77777777" w:rsidR="00A349AF" w:rsidRPr="00D85D0A" w:rsidRDefault="00A349AF" w:rsidP="007B75E2">
            <w:pPr>
              <w:numPr>
                <w:ilvl w:val="0"/>
                <w:numId w:val="1"/>
              </w:numPr>
              <w:spacing w:after="108"/>
              <w:ind w:hanging="216"/>
              <w:rPr>
                <w:color w:val="1F4E79" w:themeColor="accent1" w:themeShade="80"/>
              </w:rPr>
            </w:pPr>
            <w:r w:rsidRPr="00D85D0A">
              <w:rPr>
                <w:rFonts w:ascii="Verdana" w:eastAsia="Verdana" w:hAnsi="Verdana" w:cs="Verdana"/>
                <w:color w:val="1F4E79" w:themeColor="accent1" w:themeShade="80"/>
                <w:sz w:val="20"/>
              </w:rPr>
              <w:t xml:space="preserve">Case Studies </w:t>
            </w:r>
          </w:p>
          <w:p w14:paraId="7E418F0C" w14:textId="77777777" w:rsidR="00A349AF" w:rsidRPr="00D85D0A" w:rsidRDefault="00A349AF" w:rsidP="007B75E2">
            <w:pPr>
              <w:spacing w:after="106"/>
              <w:rPr>
                <w:rFonts w:ascii="Verdana" w:eastAsia="Verdana" w:hAnsi="Verdana" w:cs="Verdana"/>
                <w:color w:val="1F4E79" w:themeColor="accent1" w:themeShade="80"/>
                <w:sz w:val="20"/>
              </w:rPr>
            </w:pPr>
          </w:p>
          <w:p w14:paraId="3419B0CD" w14:textId="77777777" w:rsidR="00A349AF" w:rsidRPr="004A07AA" w:rsidRDefault="00A349AF" w:rsidP="007B75E2">
            <w:pPr>
              <w:spacing w:after="106"/>
              <w:rPr>
                <w:b/>
                <w:color w:val="1F4E79" w:themeColor="accent1" w:themeShade="80"/>
              </w:rPr>
            </w:pPr>
            <w:r w:rsidRPr="004A07AA">
              <w:rPr>
                <w:rFonts w:ascii="Verdana" w:eastAsia="Verdana" w:hAnsi="Verdana" w:cs="Verdana"/>
                <w:b/>
                <w:color w:val="1F4E79" w:themeColor="accent1" w:themeShade="80"/>
                <w:sz w:val="20"/>
              </w:rPr>
              <w:t>Useful links</w:t>
            </w:r>
          </w:p>
          <w:p w14:paraId="58A0829C" w14:textId="77777777" w:rsidR="00A349AF" w:rsidRPr="004A07AA" w:rsidRDefault="00A349AF" w:rsidP="007B75E2">
            <w:pPr>
              <w:numPr>
                <w:ilvl w:val="0"/>
                <w:numId w:val="1"/>
              </w:numPr>
              <w:spacing w:after="106"/>
              <w:ind w:hanging="216"/>
              <w:rPr>
                <w:color w:val="1F4E79" w:themeColor="accent1" w:themeShade="80"/>
                <w:u w:val="single"/>
              </w:rPr>
            </w:pPr>
            <w:r w:rsidRPr="004A07AA">
              <w:rPr>
                <w:rFonts w:ascii="Verdana" w:eastAsia="Verdana" w:hAnsi="Verdana" w:cs="Verdana"/>
                <w:color w:val="1F4E79" w:themeColor="accent1" w:themeShade="80"/>
                <w:sz w:val="20"/>
                <w:u w:val="single"/>
              </w:rPr>
              <w:t xml:space="preserve">NI </w:t>
            </w:r>
            <w:hyperlink r:id="rId6">
              <w:r w:rsidRPr="004A07AA">
                <w:rPr>
                  <w:rFonts w:ascii="Verdana" w:eastAsia="Verdana" w:hAnsi="Verdana" w:cs="Verdana"/>
                  <w:color w:val="1F4E79" w:themeColor="accent1" w:themeShade="80"/>
                  <w:sz w:val="20"/>
                  <w:u w:val="single"/>
                </w:rPr>
                <w:t>IGJ website</w:t>
              </w:r>
            </w:hyperlink>
          </w:p>
          <w:p w14:paraId="20BF8838" w14:textId="77777777" w:rsidR="00A349AF" w:rsidRPr="004A07AA" w:rsidRDefault="00E21B89" w:rsidP="007B75E2">
            <w:pPr>
              <w:numPr>
                <w:ilvl w:val="0"/>
                <w:numId w:val="1"/>
              </w:numPr>
              <w:spacing w:after="59" w:line="300" w:lineRule="auto"/>
              <w:ind w:hanging="216"/>
              <w:rPr>
                <w:color w:val="1F4E79" w:themeColor="accent1" w:themeShade="80"/>
                <w:u w:val="single"/>
              </w:rPr>
            </w:pPr>
            <w:hyperlink r:id="rId7">
              <w:r w:rsidR="00A349AF" w:rsidRPr="004A07AA">
                <w:rPr>
                  <w:rFonts w:ascii="Verdana" w:eastAsia="Verdana" w:hAnsi="Verdana" w:cs="Verdana"/>
                  <w:color w:val="1F4E79" w:themeColor="accent1" w:themeShade="80"/>
                  <w:sz w:val="20"/>
                  <w:u w:val="single"/>
                </w:rPr>
                <w:t xml:space="preserve">Invest NI </w:t>
              </w:r>
            </w:hyperlink>
            <w:hyperlink r:id="rId8">
              <w:r w:rsidR="00A349AF" w:rsidRPr="004A07AA">
                <w:rPr>
                  <w:rFonts w:ascii="Verdana" w:eastAsia="Verdana" w:hAnsi="Verdana" w:cs="Verdana"/>
                  <w:color w:val="1F4E79" w:themeColor="accent1" w:themeShade="80"/>
                  <w:sz w:val="20"/>
                  <w:u w:val="single"/>
                </w:rPr>
                <w:t>website</w:t>
              </w:r>
            </w:hyperlink>
          </w:p>
          <w:p w14:paraId="6ED9953F" w14:textId="77777777" w:rsidR="00A349AF" w:rsidRDefault="00A349AF" w:rsidP="007B75E2">
            <w:pPr>
              <w:spacing w:after="59" w:line="300" w:lineRule="auto"/>
            </w:pPr>
          </w:p>
          <w:p w14:paraId="2C3F87FA" w14:textId="77777777" w:rsidR="00A349AF" w:rsidRPr="004458A1" w:rsidRDefault="00A349AF" w:rsidP="007B75E2">
            <w:pPr>
              <w:spacing w:line="300" w:lineRule="auto"/>
              <w:rPr>
                <w:rFonts w:ascii="Verdana" w:eastAsia="Verdana" w:hAnsi="Verdana" w:cs="Verdana"/>
                <w:b/>
                <w:color w:val="00206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>Contact Us:</w:t>
            </w:r>
          </w:p>
          <w:p w14:paraId="1C503F7D" w14:textId="77777777" w:rsidR="00A349AF" w:rsidRDefault="00E21B89" w:rsidP="007B75E2">
            <w:pPr>
              <w:spacing w:line="300" w:lineRule="auto"/>
              <w:ind w:right="103"/>
            </w:pPr>
            <w:hyperlink r:id="rId9" w:history="1">
              <w:r w:rsidR="00A349AF" w:rsidRPr="00136291">
                <w:rPr>
                  <w:rStyle w:val="Hyperlink"/>
                  <w:rFonts w:ascii="Verdana" w:eastAsia="Verdana" w:hAnsi="Verdana" w:cs="Verdana"/>
                  <w:color w:val="1F4E79" w:themeColor="accent1" w:themeShade="80"/>
                  <w:sz w:val="20"/>
                </w:rPr>
                <w:t>igjni@economyni.gov.uk</w:t>
              </w:r>
            </w:hyperlink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64B1" w14:textId="77777777" w:rsidR="00A349AF" w:rsidRPr="00D85D0A" w:rsidRDefault="00A349AF" w:rsidP="007B75E2">
            <w:pPr>
              <w:ind w:right="141"/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</w:pPr>
            <w:r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>What is the European Regional Development Fund (ERDF)?</w:t>
            </w:r>
          </w:p>
          <w:p w14:paraId="1D43C2AE" w14:textId="77777777" w:rsidR="00A349AF" w:rsidRDefault="00A349AF" w:rsidP="007B75E2">
            <w:pPr>
              <w:ind w:right="141"/>
            </w:pPr>
          </w:p>
          <w:p w14:paraId="4B9041A9" w14:textId="77777777" w:rsidR="00A349AF" w:rsidRPr="00C13053" w:rsidRDefault="00A349AF" w:rsidP="007B75E2">
            <w:pPr>
              <w:spacing w:line="360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  <w:r w:rsidRPr="00C13053">
              <w:rPr>
                <w:rFonts w:ascii="Verdana" w:eastAsia="Verdana" w:hAnsi="Verdana" w:cs="Verdana"/>
                <w:sz w:val="20"/>
              </w:rPr>
              <w:t>The European Regional Development Fund (ERDF) is the main EU Structural and Investment (ESI) Fund used to support economic development in countries and regions across Europe.</w:t>
            </w:r>
          </w:p>
          <w:p w14:paraId="7833CFED" w14:textId="77777777" w:rsidR="00A349AF" w:rsidRPr="00C13053" w:rsidRDefault="00A349AF" w:rsidP="007B75E2">
            <w:pPr>
              <w:spacing w:line="360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</w:p>
          <w:p w14:paraId="76BCA7A3" w14:textId="77777777" w:rsidR="00A349AF" w:rsidRPr="00C13053" w:rsidRDefault="00A349AF" w:rsidP="007B75E2">
            <w:pPr>
              <w:spacing w:line="360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  <w:r w:rsidRPr="00C13053">
              <w:rPr>
                <w:rFonts w:ascii="Verdana" w:eastAsia="Verdana" w:hAnsi="Verdana" w:cs="Verdana"/>
                <w:sz w:val="20"/>
              </w:rPr>
              <w:t>The ESI funds have been specifically designed to reduce structural imbalances in economic performance within and between EU member countries.</w:t>
            </w:r>
          </w:p>
          <w:p w14:paraId="3E7811D3" w14:textId="77777777" w:rsidR="00A349AF" w:rsidRPr="00C13053" w:rsidRDefault="00A349AF" w:rsidP="007B75E2">
            <w:pPr>
              <w:spacing w:line="360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</w:p>
          <w:p w14:paraId="1F509E00" w14:textId="77777777" w:rsidR="00A349AF" w:rsidRDefault="00A349AF" w:rsidP="007B75E2">
            <w:pPr>
              <w:spacing w:after="19" w:line="360" w:lineRule="auto"/>
              <w:ind w:right="141"/>
              <w:rPr>
                <w:rFonts w:ascii="Verdana" w:eastAsia="Verdana" w:hAnsi="Verdana" w:cs="Verdana"/>
                <w:sz w:val="20"/>
              </w:rPr>
            </w:pPr>
            <w:r w:rsidRPr="00C13053">
              <w:rPr>
                <w:rFonts w:ascii="Verdana" w:eastAsia="Verdana" w:hAnsi="Verdana" w:cs="Verdana"/>
                <w:sz w:val="20"/>
              </w:rPr>
              <w:t>In the UK funds are administered at a regional level to address regional issues.</w:t>
            </w:r>
          </w:p>
          <w:p w14:paraId="72CA3160" w14:textId="77777777" w:rsidR="00A349AF" w:rsidRDefault="00A349AF" w:rsidP="007B75E2">
            <w:pPr>
              <w:spacing w:after="19"/>
              <w:ind w:right="141"/>
            </w:pPr>
          </w:p>
          <w:p w14:paraId="51D525BD" w14:textId="77777777" w:rsidR="00A349AF" w:rsidRPr="000960BB" w:rsidRDefault="00A349AF" w:rsidP="007B75E2">
            <w:pPr>
              <w:spacing w:after="19"/>
              <w:ind w:right="141"/>
            </w:pPr>
          </w:p>
          <w:p w14:paraId="791592DB" w14:textId="77777777" w:rsidR="00A349AF" w:rsidRPr="00D85D0A" w:rsidRDefault="00A349AF" w:rsidP="007B75E2">
            <w:pPr>
              <w:ind w:right="141"/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</w:pPr>
            <w:r w:rsidRPr="00D85D0A"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>Objectives</w:t>
            </w:r>
          </w:p>
          <w:p w14:paraId="4BAFDB89" w14:textId="77777777" w:rsidR="00A349AF" w:rsidRDefault="00A349AF" w:rsidP="007B75E2">
            <w:pPr>
              <w:ind w:right="141"/>
            </w:pPr>
          </w:p>
          <w:p w14:paraId="3485F9E7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The strategic objective of the Programme is to promote smart, sustainable and inclusive growth, the achievement of economic, social and territorial cohesion, and high levels of employment and productivity.</w:t>
            </w:r>
          </w:p>
          <w:p w14:paraId="12D0D24F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20EDCC" w14:textId="77777777" w:rsidR="00A349AF" w:rsidRPr="00D85D0A" w:rsidRDefault="00A349AF" w:rsidP="007B75E2">
            <w:pPr>
              <w:spacing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The Programme aims to:</w:t>
            </w:r>
          </w:p>
          <w:p w14:paraId="3A4FA7CA" w14:textId="77777777" w:rsidR="00A349AF" w:rsidRPr="00D85D0A" w:rsidRDefault="00A349AF" w:rsidP="007B75E2">
            <w:pPr>
              <w:spacing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CE4D3D1" w14:textId="77777777" w:rsidR="00A349AF" w:rsidRPr="00D85D0A" w:rsidRDefault="00A349AF" w:rsidP="00A349AF">
            <w:pPr>
              <w:pStyle w:val="ListParagraph"/>
              <w:numPr>
                <w:ilvl w:val="0"/>
                <w:numId w:val="2"/>
              </w:num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stimulate innovation, R&amp;D and creativity</w:t>
            </w:r>
          </w:p>
          <w:p w14:paraId="119EADD4" w14:textId="77777777" w:rsidR="00A349AF" w:rsidRPr="00D85D0A" w:rsidRDefault="00A349AF" w:rsidP="00A349AF">
            <w:pPr>
              <w:pStyle w:val="ListParagraph"/>
              <w:numPr>
                <w:ilvl w:val="0"/>
                <w:numId w:val="2"/>
              </w:num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encourage business growth</w:t>
            </w:r>
          </w:p>
          <w:p w14:paraId="0F7F5AA3" w14:textId="77777777" w:rsidR="00A349AF" w:rsidRDefault="00A349AF" w:rsidP="00A349AF">
            <w:pPr>
              <w:pStyle w:val="ListParagraph"/>
              <w:numPr>
                <w:ilvl w:val="0"/>
                <w:numId w:val="2"/>
              </w:num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compete in the global economy</w:t>
            </w:r>
          </w:p>
          <w:p w14:paraId="23C4D0AB" w14:textId="77777777" w:rsidR="00A349AF" w:rsidRDefault="00A349AF" w:rsidP="007B75E2">
            <w:p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860577" w14:textId="77777777" w:rsidR="00A349AF" w:rsidRPr="00C13053" w:rsidRDefault="00A349AF" w:rsidP="007B75E2">
            <w:p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C13053">
              <w:rPr>
                <w:rFonts w:ascii="Verdana" w:hAnsi="Verdana"/>
                <w:sz w:val="20"/>
                <w:szCs w:val="20"/>
              </w:rPr>
              <w:t>The NI Programme has a total value of €522m, over €313m of which comes directly from the ERDF.</w:t>
            </w:r>
          </w:p>
          <w:p w14:paraId="408C7BCD" w14:textId="77777777" w:rsidR="00A349AF" w:rsidRPr="00C13053" w:rsidRDefault="00A349AF" w:rsidP="007B75E2">
            <w:pPr>
              <w:spacing w:after="2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762B95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The programme has three key priorities:</w:t>
            </w:r>
          </w:p>
          <w:p w14:paraId="1872D13E" w14:textId="77777777" w:rsidR="00A349AF" w:rsidRPr="00D85D0A" w:rsidRDefault="00A349AF" w:rsidP="007B75E2">
            <w:pPr>
              <w:spacing w:after="2" w:line="277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D1F066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Priority 1 – Research Technological Development and Innovation</w:t>
            </w:r>
          </w:p>
          <w:p w14:paraId="1C00275D" w14:textId="171B50BD" w:rsidR="00A349AF" w:rsidRPr="00395845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395845">
              <w:rPr>
                <w:rFonts w:ascii="Verdana" w:hAnsi="Verdana"/>
                <w:sz w:val="20"/>
                <w:szCs w:val="20"/>
              </w:rPr>
              <w:t>€128.72</w:t>
            </w:r>
            <w:r w:rsidRPr="00395845">
              <w:rPr>
                <w:rFonts w:ascii="Verdana" w:hAnsi="Verdana"/>
                <w:i/>
                <w:sz w:val="20"/>
                <w:szCs w:val="20"/>
              </w:rPr>
              <w:t xml:space="preserve">m 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ERDF </w:t>
            </w:r>
            <w:r w:rsidR="007D155F">
              <w:rPr>
                <w:rFonts w:ascii="Verdana" w:hAnsi="Verdana"/>
                <w:sz w:val="20"/>
                <w:szCs w:val="20"/>
              </w:rPr>
              <w:t>is allocated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 to Invest NI </w:t>
            </w:r>
            <w:r w:rsidR="007D155F">
              <w:rPr>
                <w:rFonts w:ascii="Verdana" w:hAnsi="Verdana"/>
                <w:sz w:val="20"/>
                <w:szCs w:val="20"/>
              </w:rPr>
              <w:t>for administration of grants to support R&amp;D and to provide consultancy support for business through the Design Service.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085C15">
              <w:rPr>
                <w:rFonts w:ascii="Verdana" w:hAnsi="Verdana"/>
                <w:sz w:val="20"/>
                <w:szCs w:val="20"/>
              </w:rPr>
              <w:t>,</w:t>
            </w:r>
            <w:r w:rsidR="007D155F">
              <w:rPr>
                <w:rFonts w:ascii="Verdana" w:hAnsi="Verdana"/>
                <w:sz w:val="20"/>
                <w:szCs w:val="20"/>
              </w:rPr>
              <w:t>425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 enterprises have benefitted from this assistance</w:t>
            </w:r>
            <w:r w:rsidR="007D155F">
              <w:rPr>
                <w:rFonts w:ascii="Verdana" w:hAnsi="Verdana"/>
                <w:sz w:val="20"/>
                <w:szCs w:val="20"/>
              </w:rPr>
              <w:t xml:space="preserve"> and the number of Companies engaged in R&amp;D since 2014, has doubled, 495 in 2014:</w:t>
            </w:r>
            <w:r w:rsidR="00085C1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155F">
              <w:rPr>
                <w:rFonts w:ascii="Verdana" w:hAnsi="Verdana"/>
                <w:sz w:val="20"/>
                <w:szCs w:val="20"/>
              </w:rPr>
              <w:t>990 in 2021.</w:t>
            </w:r>
          </w:p>
          <w:p w14:paraId="4CF2D800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B556134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Priority 2 – SME Competitiveness (Invest NI)</w:t>
            </w:r>
          </w:p>
          <w:p w14:paraId="357EBC44" w14:textId="3B6D5A28" w:rsidR="00A349AF" w:rsidRPr="00395845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395845">
              <w:rPr>
                <w:rFonts w:ascii="Verdana" w:hAnsi="Verdana"/>
                <w:sz w:val="20"/>
                <w:szCs w:val="20"/>
              </w:rPr>
              <w:t>€129.5</w:t>
            </w:r>
            <w:r w:rsidR="004D0A07">
              <w:rPr>
                <w:rFonts w:ascii="Verdana" w:hAnsi="Verdana"/>
                <w:sz w:val="20"/>
                <w:szCs w:val="20"/>
              </w:rPr>
              <w:t>9</w:t>
            </w:r>
            <w:r w:rsidRPr="00395845">
              <w:rPr>
                <w:rFonts w:ascii="Verdana" w:hAnsi="Verdana"/>
                <w:i/>
                <w:sz w:val="20"/>
                <w:szCs w:val="20"/>
              </w:rPr>
              <w:t xml:space="preserve">m 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ERDF </w:t>
            </w:r>
            <w:r w:rsidR="004D0A07">
              <w:rPr>
                <w:rFonts w:ascii="Verdana" w:hAnsi="Verdana"/>
                <w:sz w:val="20"/>
                <w:szCs w:val="20"/>
              </w:rPr>
              <w:t xml:space="preserve">is allocated 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to Invest NI </w:t>
            </w:r>
            <w:r w:rsidR="004D0A07">
              <w:rPr>
                <w:rFonts w:ascii="Verdana" w:hAnsi="Verdana"/>
                <w:sz w:val="20"/>
                <w:szCs w:val="20"/>
              </w:rPr>
              <w:t>to implement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 Financial Instruments</w:t>
            </w:r>
            <w:r w:rsidR="004D0A07">
              <w:rPr>
                <w:rFonts w:ascii="Verdana" w:hAnsi="Verdana"/>
                <w:sz w:val="20"/>
                <w:szCs w:val="20"/>
              </w:rPr>
              <w:t xml:space="preserve"> (equity and loan funds) and provide support for entrepreneurship and development of Small &amp; Medium Enterprises (SMEs). 402 SMEs have been supported and employment within micro and small business is now at 323,000 against a baseline of 297,000. The number of SME high growth companies has increased from a baseline of 695 in 2013 to 745 in 2021.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A095544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19065E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Priority 3 – Energy from Renewable Sources (DfI and DfC)</w:t>
            </w:r>
          </w:p>
          <w:p w14:paraId="621616DE" w14:textId="2DEA4CBC" w:rsidR="00A349AF" w:rsidRDefault="004D0A07" w:rsidP="007B75E2">
            <w:pPr>
              <w:spacing w:after="2" w:line="360" w:lineRule="auto"/>
              <w:ind w:right="141" w:firstLine="12"/>
              <w:jc w:val="both"/>
            </w:pPr>
            <w:r w:rsidRPr="000960BB">
              <w:rPr>
                <w:rFonts w:ascii="Verdana" w:hAnsi="Verdana"/>
                <w:sz w:val="20"/>
                <w:szCs w:val="20"/>
              </w:rPr>
              <w:t>€</w:t>
            </w:r>
            <w:r>
              <w:rPr>
                <w:rFonts w:ascii="Verdana" w:hAnsi="Verdana"/>
                <w:sz w:val="20"/>
                <w:szCs w:val="20"/>
              </w:rPr>
              <w:t xml:space="preserve">45.1m ERDF assigned in total.  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>€22.15</w:t>
            </w:r>
            <w:r w:rsidR="00A349AF" w:rsidRPr="000960BB">
              <w:rPr>
                <w:rFonts w:ascii="Verdana" w:hAnsi="Verdana"/>
                <w:i/>
                <w:sz w:val="20"/>
                <w:szCs w:val="20"/>
              </w:rPr>
              <w:t xml:space="preserve">m 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 xml:space="preserve">ERDF support for the Belfast Rapid Transit System </w:t>
            </w:r>
            <w:r>
              <w:rPr>
                <w:rFonts w:ascii="Verdana" w:hAnsi="Verdana"/>
                <w:sz w:val="20"/>
                <w:szCs w:val="20"/>
              </w:rPr>
              <w:t xml:space="preserve">was 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>delivered through D</w:t>
            </w:r>
            <w:r w:rsidR="00A349AF">
              <w:rPr>
                <w:rFonts w:ascii="Verdana" w:hAnsi="Verdana"/>
                <w:sz w:val="20"/>
                <w:szCs w:val="20"/>
              </w:rPr>
              <w:t xml:space="preserve">epartment for 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>I</w:t>
            </w:r>
            <w:r w:rsidR="00A349AF">
              <w:rPr>
                <w:rFonts w:ascii="Verdana" w:hAnsi="Verdana"/>
                <w:sz w:val="20"/>
                <w:szCs w:val="20"/>
              </w:rPr>
              <w:t>nfrastructure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 xml:space="preserve"> further c€23m </w:t>
            </w:r>
            <w:r>
              <w:rPr>
                <w:rFonts w:ascii="Verdana" w:hAnsi="Verdana"/>
                <w:sz w:val="20"/>
                <w:szCs w:val="20"/>
              </w:rPr>
              <w:t>is allocated for improved energy efficiency in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 xml:space="preserve"> NI Housing Executive’s social housing stock</w:t>
            </w:r>
            <w:r w:rsidR="00A349AF" w:rsidRPr="00D85D0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11F795E9" w14:textId="77777777" w:rsidR="00A349AF" w:rsidRDefault="00A349AF" w:rsidP="00A349AF">
      <w:pPr>
        <w:spacing w:after="0"/>
        <w:ind w:left="-1440" w:right="10466"/>
      </w:pPr>
    </w:p>
    <w:tbl>
      <w:tblPr>
        <w:tblStyle w:val="TableGrid"/>
        <w:tblW w:w="11130" w:type="dxa"/>
        <w:tblInd w:w="-929" w:type="dxa"/>
        <w:tblCellMar>
          <w:top w:w="54" w:type="dxa"/>
          <w:left w:w="108" w:type="dxa"/>
          <w:right w:w="38" w:type="dxa"/>
        </w:tblCellMar>
        <w:tblLook w:val="04A0" w:firstRow="1" w:lastRow="0" w:firstColumn="1" w:lastColumn="0" w:noHBand="0" w:noVBand="1"/>
        <w:tblDescription w:val="Press Releases and Case Studies for IGJ Programme"/>
      </w:tblPr>
      <w:tblGrid>
        <w:gridCol w:w="2625"/>
        <w:gridCol w:w="8505"/>
      </w:tblGrid>
      <w:tr w:rsidR="00A349AF" w14:paraId="3CAF03DE" w14:textId="77777777" w:rsidTr="007B75E2">
        <w:trPr>
          <w:trHeight w:val="15250"/>
          <w:tblHeader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B647" w14:textId="77777777" w:rsidR="00A349AF" w:rsidRDefault="00A349AF" w:rsidP="007B75E2">
            <w:pPr>
              <w:ind w:left="101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A932" w14:textId="77777777" w:rsidR="00A349AF" w:rsidRPr="00D85D0A" w:rsidRDefault="00A349AF" w:rsidP="007B75E2">
            <w:pPr>
              <w:spacing w:after="257"/>
              <w:ind w:right="141"/>
              <w:rPr>
                <w:color w:val="1F4E79" w:themeColor="accent1" w:themeShade="80"/>
              </w:rPr>
            </w:pPr>
            <w:r w:rsidRPr="00D85D0A"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 xml:space="preserve">Press Releases </w:t>
            </w:r>
          </w:p>
          <w:p w14:paraId="2ADEB01E" w14:textId="0CE71368" w:rsidR="00A349AF" w:rsidRDefault="00A349AF" w:rsidP="007B75E2">
            <w:pPr>
              <w:spacing w:line="278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Invest NI publishes press releases to promote ERDF funded activity, a selection of which can be accessed through the following links:</w:t>
            </w:r>
          </w:p>
          <w:p w14:paraId="17E036C7" w14:textId="77777777" w:rsidR="00140669" w:rsidRDefault="00140669" w:rsidP="007B75E2">
            <w:pPr>
              <w:spacing w:line="278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</w:p>
          <w:p w14:paraId="5B69AC5C" w14:textId="2A5F334C" w:rsidR="00140669" w:rsidRPr="00140669" w:rsidRDefault="00140669" w:rsidP="00140669">
            <w:pPr>
              <w:pStyle w:val="ListParagraph"/>
              <w:numPr>
                <w:ilvl w:val="0"/>
                <w:numId w:val="8"/>
              </w:numPr>
              <w:spacing w:line="278" w:lineRule="auto"/>
              <w:ind w:right="141"/>
              <w:jc w:val="both"/>
              <w:rPr>
                <w:rStyle w:val="Hyperlink"/>
                <w:rFonts w:ascii="Verdana" w:eastAsia="Verdana" w:hAnsi="Verdana" w:cs="Verdana"/>
                <w:color w:val="000000"/>
                <w:sz w:val="20"/>
                <w:u w:val="none"/>
              </w:rPr>
            </w:pPr>
            <w:hyperlink r:id="rId10" w:history="1">
              <w:r w:rsidRPr="00140669">
                <w:rPr>
                  <w:rStyle w:val="Hyperlink"/>
                  <w:color w:val="FFFFFF" w:themeColor="background1"/>
                </w:rPr>
                <w:t>Paul Millar | Whiterock</w:t>
              </w:r>
              <w:r w:rsidRPr="00140669">
                <w:rPr>
                  <w:rStyle w:val="Hyperlink"/>
                  <w:color w:val="FFFFFF" w:themeColor="background1"/>
                </w:rPr>
                <w:t xml:space="preserve"> Capital | Access to Finance - YouTube</w:t>
              </w:r>
            </w:hyperlink>
          </w:p>
          <w:p w14:paraId="213FC666" w14:textId="7C741CC6" w:rsidR="00140669" w:rsidRPr="00140669" w:rsidRDefault="00140669" w:rsidP="00140669">
            <w:pPr>
              <w:pStyle w:val="ListParagraph"/>
              <w:numPr>
                <w:ilvl w:val="0"/>
                <w:numId w:val="8"/>
              </w:numPr>
              <w:spacing w:line="278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  <w:hyperlink r:id="rId11" w:history="1">
              <w:hyperlink r:id="rId12" w:history="1">
                <w:r w:rsidRPr="00200BA1">
                  <w:rPr>
                    <w:rStyle w:val="Hyperlink"/>
                    <w:color w:val="FFFFFF" w:themeColor="background1"/>
                  </w:rPr>
                  <w:t>Neil Simms | Clarend</w:t>
                </w:r>
                <w:r w:rsidRPr="00200BA1">
                  <w:rPr>
                    <w:rStyle w:val="Hyperlink"/>
                    <w:color w:val="FFFFFF" w:themeColor="background1"/>
                  </w:rPr>
                  <w:t>o</w:t>
                </w:r>
                <w:r w:rsidRPr="00200BA1">
                  <w:rPr>
                    <w:rStyle w:val="Hyperlink"/>
                    <w:color w:val="FFFFFF" w:themeColor="background1"/>
                  </w:rPr>
                  <w:t>n Fund Managers | Access to Finance - YouTube</w:t>
                </w:r>
              </w:hyperlink>
              <w:r w:rsidRPr="00200BA1">
                <w:rPr>
                  <w:rStyle w:val="Hyperlink"/>
                  <w:color w:val="FFFFFF" w:themeColor="background1"/>
                </w:rPr>
                <w:t>| Clarendon Fund Managers | Access to Finance - YouTube</w:t>
              </w:r>
            </w:hyperlink>
          </w:p>
          <w:p w14:paraId="3356B706" w14:textId="77777777" w:rsidR="00A349AF" w:rsidRPr="00D85D0A" w:rsidRDefault="00A349AF" w:rsidP="007B75E2">
            <w:pPr>
              <w:ind w:right="141"/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</w:pPr>
            <w:r w:rsidRPr="00D85D0A"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 xml:space="preserve">Case Studies </w:t>
            </w:r>
          </w:p>
          <w:p w14:paraId="20B832C8" w14:textId="77777777" w:rsidR="00A349AF" w:rsidRDefault="00A349AF" w:rsidP="007B75E2">
            <w:pPr>
              <w:ind w:right="141"/>
              <w:rPr>
                <w:rFonts w:ascii="Verdana" w:eastAsia="Trebuchet MS" w:hAnsi="Verdana" w:cs="Trebuchet MS"/>
                <w:color w:val="0066CC"/>
                <w:sz w:val="20"/>
                <w:szCs w:val="20"/>
              </w:rPr>
            </w:pPr>
          </w:p>
          <w:p w14:paraId="5580E5B7" w14:textId="5DA63714" w:rsidR="00A349AF" w:rsidRDefault="000B5936" w:rsidP="007B75E2">
            <w:pPr>
              <w:ind w:right="141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 xml:space="preserve">Elemental Software </w:t>
            </w:r>
          </w:p>
          <w:p w14:paraId="4CF98D20" w14:textId="72CDF531" w:rsidR="00A349AF" w:rsidRPr="006C42F8" w:rsidRDefault="00A349AF" w:rsidP="00774EF9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6C42F8">
              <w:rPr>
                <w:rFonts w:ascii="Verdana" w:hAnsi="Verdana"/>
                <w:sz w:val="20"/>
                <w:szCs w:val="20"/>
              </w:rPr>
              <w:t xml:space="preserve">Invest NI </w:t>
            </w:r>
            <w:r w:rsidR="000B5936">
              <w:rPr>
                <w:rFonts w:ascii="Verdana" w:hAnsi="Verdana"/>
                <w:sz w:val="20"/>
                <w:szCs w:val="20"/>
              </w:rPr>
              <w:t>R&amp;D support is enabling this Derry based company to grow its business in Great Britain and ROI.</w:t>
            </w:r>
          </w:p>
          <w:p w14:paraId="6D032470" w14:textId="4FAB8653" w:rsidR="00A349AF" w:rsidRPr="006C42F8" w:rsidRDefault="000B5936" w:rsidP="00774EF9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Department for the Economy’s 10x Vision identifies companies like Elemental Software as vital for Northern Ireland’s economic future due to their use of innovative technologies to develop healthcare solutions.</w:t>
            </w:r>
          </w:p>
          <w:p w14:paraId="23158719" w14:textId="77777777" w:rsidR="00A349AF" w:rsidRPr="00BB36C5" w:rsidRDefault="00A349AF" w:rsidP="007B75E2">
            <w:pPr>
              <w:spacing w:line="276" w:lineRule="auto"/>
              <w:ind w:left="601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EC9191" w14:textId="2D6B3D69" w:rsidR="00A349AF" w:rsidRDefault="00A349AF" w:rsidP="007B75E2">
            <w:pPr>
              <w:spacing w:line="276" w:lineRule="auto"/>
              <w:ind w:right="141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EA4D0E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C</w:t>
            </w:r>
            <w:r w:rsidR="000B5936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ADshare</w:t>
            </w:r>
            <w:proofErr w:type="spellEnd"/>
          </w:p>
          <w:p w14:paraId="475725F5" w14:textId="7ECD2154" w:rsidR="00A349AF" w:rsidRDefault="000B5936" w:rsidP="00774EF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Support from Invest NI via Access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Fiance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benn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offered to this Company through a Techstart Proof of concept grant.</w:t>
            </w:r>
          </w:p>
          <w:p w14:paraId="1E848975" w14:textId="5092B7D0" w:rsidR="000B5936" w:rsidRPr="006C42F8" w:rsidRDefault="000B5936" w:rsidP="00774EF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Cadshare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enable equipment manufacturers to digitise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there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spare parts processes which ultimately allows them to provide better customer service and sell more parts.</w:t>
            </w:r>
          </w:p>
          <w:p w14:paraId="75580D87" w14:textId="7F2E061C" w:rsidR="00A349AF" w:rsidRPr="006C42F8" w:rsidRDefault="000B5936" w:rsidP="00774EF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support has been key to the creation of 3 more jobs: enabled the company to build a prototype of their product, get</w:t>
            </w:r>
            <w:r w:rsidR="00A41C8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it out to market and have their product validated.</w:t>
            </w:r>
            <w:r w:rsidR="00A349AF" w:rsidRPr="006C42F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E0BF8F7" w14:textId="77777777" w:rsidR="00A349AF" w:rsidRDefault="00A349AF" w:rsidP="007B75E2">
            <w:pPr>
              <w:spacing w:line="276" w:lineRule="auto"/>
              <w:ind w:left="601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5AFE90" w14:textId="5FBB7948" w:rsidR="00A349AF" w:rsidRDefault="00A41C86" w:rsidP="007B75E2">
            <w:pPr>
              <w:spacing w:line="276" w:lineRule="auto"/>
              <w:ind w:right="141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Datactics</w:t>
            </w:r>
            <w:proofErr w:type="spellEnd"/>
          </w:p>
          <w:p w14:paraId="09E4A432" w14:textId="75E963B8" w:rsidR="00A349AF" w:rsidRPr="006C42F8" w:rsidRDefault="00A41C86" w:rsidP="00774EF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9" w:right="141" w:hanging="283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Datactics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has been supported by Invest NI Access to Finance programme via Equity fund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Kernal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Capital. </w:t>
            </w:r>
          </w:p>
          <w:p w14:paraId="237BC963" w14:textId="108A1C4F" w:rsidR="00A349AF" w:rsidRPr="006C42F8" w:rsidRDefault="00A41C86" w:rsidP="00774EF9">
            <w:pPr>
              <w:numPr>
                <w:ilvl w:val="0"/>
                <w:numId w:val="5"/>
              </w:numPr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company develop business-user focused data quality and matching technology, making access to clean and usable data within easy reach of the people who need it.</w:t>
            </w:r>
          </w:p>
          <w:p w14:paraId="46097D2C" w14:textId="1778C641" w:rsidR="00A349AF" w:rsidRDefault="00A41C86" w:rsidP="007B75E2">
            <w:pPr>
              <w:numPr>
                <w:ilvl w:val="0"/>
                <w:numId w:val="5"/>
              </w:numPr>
              <w:spacing w:line="276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This support has been key in helping to accelerate product development &amp; business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accelearation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to hire new Developers in the rapidly growing AI team.</w:t>
            </w:r>
          </w:p>
          <w:p w14:paraId="0F5A7951" w14:textId="77777777" w:rsidR="00A41C86" w:rsidRPr="00A41C86" w:rsidRDefault="00A41C86" w:rsidP="00A41C86">
            <w:pPr>
              <w:spacing w:line="276" w:lineRule="auto"/>
              <w:ind w:left="459"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13E1F0" w14:textId="77777777" w:rsidR="00A349AF" w:rsidRDefault="00A349AF" w:rsidP="007B75E2">
            <w:pPr>
              <w:spacing w:line="276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A80C7D">
              <w:rPr>
                <w:rFonts w:ascii="Verdana" w:hAnsi="Verdana"/>
                <w:sz w:val="20"/>
                <w:szCs w:val="20"/>
              </w:rPr>
              <w:t xml:space="preserve">The Managing Authority regularly updates the dedicated </w:t>
            </w:r>
            <w:hyperlink r:id="rId13" w:history="1">
              <w:r w:rsidRPr="00EA4D0E">
                <w:rPr>
                  <w:rStyle w:val="Hyperlink"/>
                  <w:rFonts w:ascii="Verdana" w:hAnsi="Verdana"/>
                  <w:b/>
                  <w:color w:val="023160" w:themeColor="hyperlink" w:themeShade="80"/>
                  <w:sz w:val="20"/>
                  <w:szCs w:val="20"/>
                </w:rPr>
                <w:t>Programme Website</w:t>
              </w:r>
            </w:hyperlink>
            <w:r w:rsidRPr="00A80C7D">
              <w:rPr>
                <w:rFonts w:ascii="Verdana" w:hAnsi="Verdana"/>
                <w:sz w:val="20"/>
                <w:szCs w:val="20"/>
              </w:rPr>
              <w:t xml:space="preserve"> highlighting the benefit that ERDF funding makes in Northern Ireland</w:t>
            </w:r>
          </w:p>
          <w:p w14:paraId="16CFB60B" w14:textId="77777777" w:rsidR="00A349AF" w:rsidRDefault="00A349AF" w:rsidP="007B75E2">
            <w:pPr>
              <w:spacing w:line="276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718FF0" w14:textId="06614E79" w:rsidR="00085C15" w:rsidRDefault="00A349AF" w:rsidP="007B75E2">
            <w:pPr>
              <w:ind w:right="141"/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</w:pPr>
            <w:r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>Further Reading</w:t>
            </w:r>
          </w:p>
          <w:p w14:paraId="1BC2FCDB" w14:textId="77777777" w:rsidR="00A349AF" w:rsidRPr="009D4FFB" w:rsidRDefault="00A349AF" w:rsidP="007B75E2">
            <w:pPr>
              <w:ind w:right="141"/>
              <w:rPr>
                <w:color w:val="1F4E79" w:themeColor="accent1" w:themeShade="80"/>
              </w:rPr>
            </w:pPr>
          </w:p>
          <w:p w14:paraId="226B2FE8" w14:textId="6291A3D2" w:rsidR="00A349AF" w:rsidRPr="00EA4D0E" w:rsidRDefault="00E21B89" w:rsidP="007B75E2">
            <w:pPr>
              <w:ind w:right="141"/>
              <w:rPr>
                <w:rFonts w:ascii="Verdana" w:hAnsi="Verdana"/>
                <w:color w:val="1F4E79" w:themeColor="accent1" w:themeShade="80"/>
                <w:sz w:val="20"/>
                <w:szCs w:val="20"/>
                <w:u w:val="single"/>
              </w:rPr>
            </w:pPr>
            <w:hyperlink r:id="rId14" w:history="1">
              <w:r w:rsidR="00085C15">
                <w:rPr>
                  <w:rStyle w:val="Hyperlink"/>
                  <w:rFonts w:ascii="Verdana" w:eastAsia="Verdana" w:hAnsi="Verdana" w:cs="Verdana"/>
                  <w:color w:val="023160" w:themeColor="hyperlink" w:themeShade="80"/>
                  <w:sz w:val="20"/>
                  <w:szCs w:val="20"/>
                </w:rPr>
                <w:t>Annual Implementation Re</w:t>
              </w:r>
              <w:r w:rsidR="00085C15">
                <w:rPr>
                  <w:rStyle w:val="Hyperlink"/>
                  <w:rFonts w:ascii="Verdana" w:eastAsia="Verdana" w:hAnsi="Verdana" w:cs="Verdana"/>
                  <w:color w:val="023160" w:themeColor="hyperlink" w:themeShade="80"/>
                  <w:sz w:val="20"/>
                  <w:szCs w:val="20"/>
                </w:rPr>
                <w:t>p</w:t>
              </w:r>
              <w:r w:rsidR="00085C15">
                <w:rPr>
                  <w:rStyle w:val="Hyperlink"/>
                  <w:rFonts w:ascii="Verdana" w:eastAsia="Verdana" w:hAnsi="Verdana" w:cs="Verdana"/>
                  <w:color w:val="023160" w:themeColor="hyperlink" w:themeShade="80"/>
                  <w:sz w:val="20"/>
                  <w:szCs w:val="20"/>
                </w:rPr>
                <w:t>ort 2021</w:t>
              </w:r>
            </w:hyperlink>
          </w:p>
          <w:p w14:paraId="0519A2AA" w14:textId="77777777" w:rsidR="00A349AF" w:rsidRDefault="00A349AF" w:rsidP="007B75E2">
            <w:pPr>
              <w:ind w:right="141"/>
              <w:rPr>
                <w:rFonts w:ascii="Verdana" w:eastAsia="Verdana" w:hAnsi="Verdana" w:cs="Verdana"/>
                <w:sz w:val="20"/>
                <w:szCs w:val="20"/>
              </w:rPr>
            </w:pPr>
            <w:r w:rsidRPr="00A80C7D">
              <w:rPr>
                <w:rFonts w:ascii="Verdana" w:eastAsia="Verdana" w:hAnsi="Verdana" w:cs="Verdana"/>
                <w:sz w:val="20"/>
                <w:szCs w:val="20"/>
              </w:rPr>
              <w:t>Read the full version of the Annual</w:t>
            </w:r>
            <w:r w:rsidR="00774EF9">
              <w:rPr>
                <w:rFonts w:ascii="Verdana" w:eastAsia="Verdana" w:hAnsi="Verdana" w:cs="Verdana"/>
                <w:sz w:val="20"/>
                <w:szCs w:val="20"/>
              </w:rPr>
              <w:t xml:space="preserve"> Implementation Report for 2020</w:t>
            </w:r>
          </w:p>
          <w:p w14:paraId="4381FCE5" w14:textId="77777777" w:rsidR="00A349AF" w:rsidRPr="00A80C7D" w:rsidRDefault="00A349AF" w:rsidP="007B75E2">
            <w:pPr>
              <w:ind w:right="141"/>
              <w:rPr>
                <w:rFonts w:ascii="Verdana" w:hAnsi="Verdana"/>
                <w:sz w:val="20"/>
                <w:szCs w:val="20"/>
              </w:rPr>
            </w:pPr>
          </w:p>
          <w:p w14:paraId="6CCFAC50" w14:textId="77777777" w:rsidR="00A349AF" w:rsidRPr="00EA4D0E" w:rsidRDefault="00E21B89" w:rsidP="007B75E2">
            <w:pPr>
              <w:ind w:right="141"/>
              <w:rPr>
                <w:rFonts w:ascii="Verdana" w:hAnsi="Verdana"/>
                <w:color w:val="1F4E79" w:themeColor="accent1" w:themeShade="80"/>
                <w:sz w:val="20"/>
                <w:szCs w:val="20"/>
                <w:u w:val="single"/>
              </w:rPr>
            </w:pPr>
            <w:hyperlink r:id="rId15"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>The Northern Ireland ERDF IGJ Pr</w:t>
              </w:r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>o</w:t>
              </w:r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>gramme Citizens Summary 2014</w:t>
              </w:r>
            </w:hyperlink>
            <w:hyperlink r:id="rId16"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>-</w:t>
              </w:r>
            </w:hyperlink>
            <w:hyperlink r:id="rId17"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>2020</w:t>
              </w:r>
            </w:hyperlink>
            <w:hyperlink r:id="rId18"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 xml:space="preserve"> </w:t>
              </w:r>
            </w:hyperlink>
            <w:r w:rsidR="00A349AF" w:rsidRPr="00EA4D0E">
              <w:rPr>
                <w:rFonts w:ascii="Verdana" w:eastAsia="Verdana" w:hAnsi="Verdana" w:cs="Verdana"/>
                <w:color w:val="1F4E79" w:themeColor="accent1" w:themeShade="80"/>
                <w:sz w:val="20"/>
                <w:szCs w:val="20"/>
                <w:u w:val="single"/>
              </w:rPr>
              <w:t xml:space="preserve"> </w:t>
            </w:r>
          </w:p>
          <w:p w14:paraId="76127212" w14:textId="77777777" w:rsidR="00A349AF" w:rsidRPr="00071958" w:rsidRDefault="00A349AF" w:rsidP="007B75E2">
            <w:pPr>
              <w:spacing w:line="276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A80C7D">
              <w:rPr>
                <w:rFonts w:ascii="Verdana" w:eastAsia="Verdana" w:hAnsi="Verdana" w:cs="Verdana"/>
                <w:sz w:val="20"/>
                <w:szCs w:val="20"/>
              </w:rPr>
              <w:t>Read a summary of the Programme and its role within Northern Ireland</w:t>
            </w:r>
          </w:p>
        </w:tc>
      </w:tr>
    </w:tbl>
    <w:p w14:paraId="213421B5" w14:textId="77777777" w:rsidR="00F1234D" w:rsidRDefault="00F1234D" w:rsidP="00A349AF">
      <w:pPr>
        <w:spacing w:after="0"/>
        <w:jc w:val="both"/>
      </w:pPr>
    </w:p>
    <w:sectPr w:rsidR="00F1234D" w:rsidSect="00A31E95">
      <w:pgSz w:w="11906" w:h="16838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E0D"/>
    <w:multiLevelType w:val="hybridMultilevel"/>
    <w:tmpl w:val="83CA5D6E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1B75239"/>
    <w:multiLevelType w:val="hybridMultilevel"/>
    <w:tmpl w:val="537C45AA"/>
    <w:lvl w:ilvl="0" w:tplc="EBC81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E1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6C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41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4F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8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6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0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A9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4B1843"/>
    <w:multiLevelType w:val="hybridMultilevel"/>
    <w:tmpl w:val="D012EFEC"/>
    <w:lvl w:ilvl="0" w:tplc="47E0D4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02722"/>
    <w:multiLevelType w:val="hybridMultilevel"/>
    <w:tmpl w:val="5FD275CC"/>
    <w:lvl w:ilvl="0" w:tplc="47E0D4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E34FF"/>
    <w:multiLevelType w:val="hybridMultilevel"/>
    <w:tmpl w:val="D5CEDD7A"/>
    <w:lvl w:ilvl="0" w:tplc="47E0D442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4EB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4EA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2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6AA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C7C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A2CA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470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A6B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294A2E"/>
    <w:multiLevelType w:val="hybridMultilevel"/>
    <w:tmpl w:val="1DFEFFAA"/>
    <w:lvl w:ilvl="0" w:tplc="9FA2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AF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A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04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EF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41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2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8A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351047"/>
    <w:multiLevelType w:val="hybridMultilevel"/>
    <w:tmpl w:val="2D2693B0"/>
    <w:lvl w:ilvl="0" w:tplc="4A342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29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C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E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6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8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E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4C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86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4FE11CF"/>
    <w:multiLevelType w:val="hybridMultilevel"/>
    <w:tmpl w:val="C360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01254">
    <w:abstractNumId w:val="4"/>
  </w:num>
  <w:num w:numId="2" w16cid:durableId="2136681329">
    <w:abstractNumId w:val="0"/>
  </w:num>
  <w:num w:numId="3" w16cid:durableId="310403030">
    <w:abstractNumId w:val="2"/>
  </w:num>
  <w:num w:numId="4" w16cid:durableId="932282000">
    <w:abstractNumId w:val="3"/>
  </w:num>
  <w:num w:numId="5" w16cid:durableId="1944603625">
    <w:abstractNumId w:val="5"/>
  </w:num>
  <w:num w:numId="6" w16cid:durableId="2037149758">
    <w:abstractNumId w:val="1"/>
  </w:num>
  <w:num w:numId="7" w16cid:durableId="318190390">
    <w:abstractNumId w:val="6"/>
  </w:num>
  <w:num w:numId="8" w16cid:durableId="1606689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B7"/>
    <w:rsid w:val="00085C15"/>
    <w:rsid w:val="000B5936"/>
    <w:rsid w:val="00140669"/>
    <w:rsid w:val="004D0A07"/>
    <w:rsid w:val="004D20B7"/>
    <w:rsid w:val="006245BE"/>
    <w:rsid w:val="00774EF9"/>
    <w:rsid w:val="007D155F"/>
    <w:rsid w:val="00A349AF"/>
    <w:rsid w:val="00A41C86"/>
    <w:rsid w:val="00F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2B56"/>
  <w15:chartTrackingRefBased/>
  <w15:docId w15:val="{09B52F82-2D88-4C82-A708-5ADF80DD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9A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49A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349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9AF"/>
    <w:pPr>
      <w:ind w:left="720"/>
      <w:contextualSpacing/>
    </w:pPr>
  </w:style>
  <w:style w:type="paragraph" w:styleId="NoSpacing">
    <w:name w:val="No Spacing"/>
    <w:uiPriority w:val="1"/>
    <w:qFormat/>
    <w:rsid w:val="00A349AF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0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ni.com/" TargetMode="External"/><Relationship Id="rId13" Type="http://schemas.openxmlformats.org/officeDocument/2006/relationships/hyperlink" Target="http://www.jobsandgrowthni.gov.uk/case-studies/" TargetMode="External"/><Relationship Id="rId18" Type="http://schemas.openxmlformats.org/officeDocument/2006/relationships/hyperlink" Target="http://www.jobsandgrowthni.gov.uk/downloads/Master_Citizens_Document_-_Draft_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ni.com/" TargetMode="External"/><Relationship Id="rId12" Type="http://schemas.openxmlformats.org/officeDocument/2006/relationships/hyperlink" Target="https://www.youtube.com/watch?v=kWQWwvdP8UU" TargetMode="External"/><Relationship Id="rId17" Type="http://schemas.openxmlformats.org/officeDocument/2006/relationships/hyperlink" Target="http://www.jobsandgrowthni.gov.uk/downloads/Master_Citizens_Document_-_Draft_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bsandgrowthni.gov.uk/downloads/Master_Citizens_Document_-_Draft_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obsandgrowthni.gov.uk/" TargetMode="External"/><Relationship Id="rId11" Type="http://schemas.openxmlformats.org/officeDocument/2006/relationships/hyperlink" Target="https://www.youtube.com/watch?v=kWQWwvdP8U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jobsandgrowthni.gov.uk/downloads/Master_Citizens_Document_-_Draft_5.pdf" TargetMode="External"/><Relationship Id="rId10" Type="http://schemas.openxmlformats.org/officeDocument/2006/relationships/hyperlink" Target="https://www.youtube.com/watch?v=tT7g-QGgl8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gjni@economyni.gov.uk" TargetMode="External"/><Relationship Id="rId14" Type="http://schemas.openxmlformats.org/officeDocument/2006/relationships/hyperlink" Target="http://www.jobsandgrowthni.gov.uk/publications/annual-implementation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Brendan (DfE)</dc:creator>
  <cp:keywords/>
  <dc:description/>
  <cp:lastModifiedBy>O'Neill, Brendan (DfE)</cp:lastModifiedBy>
  <cp:revision>4</cp:revision>
  <dcterms:created xsi:type="dcterms:W3CDTF">2021-08-11T12:28:00Z</dcterms:created>
  <dcterms:modified xsi:type="dcterms:W3CDTF">2021-08-11T13:02:00Z</dcterms:modified>
</cp:coreProperties>
</file>