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4" w:type="dxa"/>
        <w:tblInd w:w="-929" w:type="dxa"/>
        <w:tblCellMar>
          <w:top w:w="5" w:type="dxa"/>
          <w:left w:w="108" w:type="dxa"/>
          <w:right w:w="38" w:type="dxa"/>
        </w:tblCellMar>
        <w:tblLook w:val="04A0" w:firstRow="1" w:lastRow="0" w:firstColumn="1" w:lastColumn="0" w:noHBand="0" w:noVBand="1"/>
        <w:tblDescription w:val="Overview and Objectives of IGJ Programme"/>
      </w:tblPr>
      <w:tblGrid>
        <w:gridCol w:w="2721"/>
        <w:gridCol w:w="8163"/>
      </w:tblGrid>
      <w:tr w:rsidR="009D4FFB" w:rsidRPr="004458A1" w:rsidTr="00A9751A">
        <w:trPr>
          <w:trHeight w:val="139"/>
          <w:tblHeader/>
        </w:trPr>
        <w:tc>
          <w:tcPr>
            <w:tcW w:w="10884" w:type="dxa"/>
            <w:gridSpan w:val="2"/>
            <w:tcBorders>
              <w:top w:val="single" w:sz="4" w:space="0" w:color="000000"/>
              <w:left w:val="single" w:sz="4" w:space="0" w:color="000000"/>
              <w:bottom w:val="single" w:sz="4" w:space="0" w:color="000000"/>
              <w:right w:val="single" w:sz="4" w:space="0" w:color="000000"/>
            </w:tcBorders>
            <w:vAlign w:val="bottom"/>
          </w:tcPr>
          <w:p w:rsidR="009D4FFB" w:rsidRPr="004458A1" w:rsidRDefault="009D4FFB" w:rsidP="00A9751A">
            <w:pPr>
              <w:pStyle w:val="NoSpacing"/>
            </w:pPr>
          </w:p>
        </w:tc>
      </w:tr>
      <w:tr w:rsidR="0042555C" w:rsidTr="00C9084F">
        <w:trPr>
          <w:trHeight w:val="2254"/>
        </w:trPr>
        <w:tc>
          <w:tcPr>
            <w:tcW w:w="2625" w:type="dxa"/>
            <w:tcBorders>
              <w:top w:val="single" w:sz="4" w:space="0" w:color="000000"/>
              <w:left w:val="single" w:sz="4" w:space="0" w:color="000000"/>
              <w:bottom w:val="single" w:sz="4" w:space="0" w:color="000000"/>
              <w:right w:val="single" w:sz="4" w:space="0" w:color="000000"/>
            </w:tcBorders>
            <w:vAlign w:val="center"/>
          </w:tcPr>
          <w:p w:rsidR="0042555C" w:rsidRDefault="00E62F65" w:rsidP="004458A1">
            <w:pPr>
              <w:ind w:right="170"/>
              <w:jc w:val="center"/>
            </w:pPr>
            <w:r>
              <w:rPr>
                <w:noProof/>
              </w:rPr>
              <w:drawing>
                <wp:inline distT="0" distB="0" distL="0" distR="0">
                  <wp:extent cx="893369" cy="1236980"/>
                  <wp:effectExtent l="0" t="0" r="2540" b="1270"/>
                  <wp:docPr id="241" name="Picture 241" descr="European Union Logo" title="EU Logo"/>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7"/>
                          <a:stretch>
                            <a:fillRect/>
                          </a:stretch>
                        </pic:blipFill>
                        <pic:spPr>
                          <a:xfrm>
                            <a:off x="0" y="0"/>
                            <a:ext cx="893369" cy="1236980"/>
                          </a:xfrm>
                          <a:prstGeom prst="rect">
                            <a:avLst/>
                          </a:prstGeom>
                        </pic:spPr>
                      </pic:pic>
                    </a:graphicData>
                  </a:graphic>
                </wp:inline>
              </w:drawing>
            </w:r>
          </w:p>
        </w:tc>
        <w:tc>
          <w:tcPr>
            <w:tcW w:w="8259" w:type="dxa"/>
            <w:tcBorders>
              <w:top w:val="single" w:sz="4" w:space="0" w:color="000000"/>
              <w:left w:val="single" w:sz="4" w:space="0" w:color="000000"/>
              <w:bottom w:val="single" w:sz="4" w:space="0" w:color="000000"/>
              <w:right w:val="single" w:sz="4" w:space="0" w:color="000000"/>
            </w:tcBorders>
            <w:vAlign w:val="center"/>
          </w:tcPr>
          <w:p w:rsidR="00C9084F" w:rsidRDefault="00E62F65" w:rsidP="00C9084F">
            <w:pPr>
              <w:ind w:right="141"/>
              <w:jc w:val="center"/>
              <w:rPr>
                <w:rFonts w:ascii="Trebuchet MS" w:eastAsia="Trebuchet MS" w:hAnsi="Trebuchet MS" w:cs="Trebuchet MS"/>
                <w:color w:val="1F4E79" w:themeColor="accent1" w:themeShade="80"/>
                <w:sz w:val="56"/>
              </w:rPr>
            </w:pPr>
            <w:r w:rsidRPr="00D85D0A">
              <w:rPr>
                <w:rFonts w:ascii="Trebuchet MS" w:eastAsia="Trebuchet MS" w:hAnsi="Trebuchet MS" w:cs="Trebuchet MS"/>
                <w:color w:val="1F4E79" w:themeColor="accent1" w:themeShade="80"/>
                <w:sz w:val="56"/>
              </w:rPr>
              <w:t>Investment for Growt</w:t>
            </w:r>
            <w:r w:rsidR="00C9084F">
              <w:rPr>
                <w:rFonts w:ascii="Trebuchet MS" w:eastAsia="Trebuchet MS" w:hAnsi="Trebuchet MS" w:cs="Trebuchet MS"/>
                <w:color w:val="1F4E79" w:themeColor="accent1" w:themeShade="80"/>
                <w:sz w:val="56"/>
              </w:rPr>
              <w:t xml:space="preserve">h </w:t>
            </w:r>
            <w:r w:rsidR="00C9084F" w:rsidRPr="009262D0">
              <w:rPr>
                <w:rFonts w:ascii="Trebuchet MS" w:eastAsia="Trebuchet MS" w:hAnsi="Trebuchet MS" w:cs="Trebuchet MS"/>
                <w:color w:val="1F4E79" w:themeColor="accent1" w:themeShade="80"/>
                <w:sz w:val="52"/>
                <w:szCs w:val="52"/>
              </w:rPr>
              <w:t xml:space="preserve">and </w:t>
            </w:r>
            <w:r w:rsidR="00C9084F">
              <w:rPr>
                <w:rFonts w:ascii="Trebuchet MS" w:eastAsia="Trebuchet MS" w:hAnsi="Trebuchet MS" w:cs="Trebuchet MS"/>
                <w:color w:val="1F4E79" w:themeColor="accent1" w:themeShade="80"/>
                <w:sz w:val="56"/>
              </w:rPr>
              <w:t>Jobs Programme 2014-2020</w:t>
            </w:r>
          </w:p>
          <w:p w:rsidR="0042555C" w:rsidRPr="00C9084F" w:rsidRDefault="00704A5B" w:rsidP="00C9084F">
            <w:pPr>
              <w:ind w:right="141"/>
              <w:jc w:val="center"/>
              <w:rPr>
                <w:color w:val="1F4E79" w:themeColor="accent1" w:themeShade="80"/>
              </w:rPr>
            </w:pPr>
            <w:r w:rsidRPr="00D85D0A">
              <w:rPr>
                <w:rFonts w:ascii="Trebuchet MS" w:eastAsia="Trebuchet MS" w:hAnsi="Trebuchet MS" w:cs="Trebuchet MS"/>
                <w:color w:val="1F4E79" w:themeColor="accent1" w:themeShade="80"/>
                <w:sz w:val="56"/>
              </w:rPr>
              <w:t>Citizens Summary 2019</w:t>
            </w:r>
          </w:p>
        </w:tc>
      </w:tr>
      <w:tr w:rsidR="009D4FFB" w:rsidTr="00820FE5">
        <w:trPr>
          <w:trHeight w:val="150"/>
        </w:trPr>
        <w:tc>
          <w:tcPr>
            <w:tcW w:w="10884" w:type="dxa"/>
            <w:gridSpan w:val="2"/>
            <w:tcBorders>
              <w:top w:val="single" w:sz="4" w:space="0" w:color="000000"/>
              <w:left w:val="single" w:sz="4" w:space="0" w:color="000000"/>
              <w:bottom w:val="single" w:sz="4" w:space="0" w:color="000000"/>
              <w:right w:val="single" w:sz="4" w:space="0" w:color="000000"/>
            </w:tcBorders>
            <w:vAlign w:val="bottom"/>
          </w:tcPr>
          <w:p w:rsidR="009D4FFB" w:rsidRPr="005306F9" w:rsidRDefault="009D4FFB">
            <w:pPr>
              <w:rPr>
                <w:rFonts w:eastAsia="Trebuchet MS"/>
                <w:color w:val="0066CC"/>
                <w:sz w:val="24"/>
                <w:szCs w:val="24"/>
              </w:rPr>
            </w:pPr>
          </w:p>
        </w:tc>
      </w:tr>
      <w:tr w:rsidR="0042555C" w:rsidTr="00A9751A">
        <w:trPr>
          <w:trHeight w:val="12574"/>
        </w:trPr>
        <w:tc>
          <w:tcPr>
            <w:tcW w:w="2625" w:type="dxa"/>
            <w:tcBorders>
              <w:top w:val="single" w:sz="4" w:space="0" w:color="000000"/>
              <w:left w:val="single" w:sz="4" w:space="0" w:color="000000"/>
              <w:bottom w:val="single" w:sz="4" w:space="0" w:color="000000"/>
              <w:right w:val="single" w:sz="4" w:space="0" w:color="000000"/>
            </w:tcBorders>
          </w:tcPr>
          <w:p w:rsidR="0042555C" w:rsidRDefault="00EA4D0E">
            <w:pPr>
              <w:spacing w:after="35"/>
              <w:rPr>
                <w:rFonts w:ascii="Verdana" w:eastAsia="Trebuchet MS" w:hAnsi="Verdana" w:cs="Trebuchet MS"/>
                <w:b/>
                <w:color w:val="1F4E79" w:themeColor="accent1" w:themeShade="80"/>
                <w:sz w:val="20"/>
                <w:szCs w:val="20"/>
              </w:rPr>
            </w:pPr>
            <w:r>
              <w:rPr>
                <w:rFonts w:ascii="Verdana" w:eastAsia="Trebuchet MS" w:hAnsi="Verdana" w:cs="Trebuchet MS"/>
                <w:b/>
                <w:color w:val="1F4E79" w:themeColor="accent1" w:themeShade="80"/>
                <w:sz w:val="20"/>
                <w:szCs w:val="20"/>
              </w:rPr>
              <w:t>In This Issue</w:t>
            </w:r>
          </w:p>
          <w:p w:rsidR="00EA4D0E" w:rsidRPr="00EA4D0E" w:rsidRDefault="00EA4D0E">
            <w:pPr>
              <w:spacing w:after="35"/>
              <w:rPr>
                <w:rFonts w:ascii="Verdana" w:hAnsi="Verdana"/>
                <w:b/>
                <w:color w:val="1F4E79" w:themeColor="accent1" w:themeShade="80"/>
                <w:sz w:val="8"/>
                <w:szCs w:val="8"/>
              </w:rPr>
            </w:pPr>
          </w:p>
          <w:p w:rsidR="0042555C" w:rsidRPr="00D85D0A" w:rsidRDefault="00FB1B5A" w:rsidP="00FB1B5A">
            <w:pPr>
              <w:numPr>
                <w:ilvl w:val="0"/>
                <w:numId w:val="1"/>
              </w:numPr>
              <w:spacing w:after="131"/>
              <w:ind w:hanging="216"/>
              <w:rPr>
                <w:color w:val="1F4E79" w:themeColor="accent1" w:themeShade="80"/>
              </w:rPr>
            </w:pPr>
            <w:r w:rsidRPr="00D85D0A">
              <w:rPr>
                <w:rFonts w:ascii="Verdana" w:eastAsia="Verdana" w:hAnsi="Verdana" w:cs="Verdana"/>
                <w:color w:val="1F4E79" w:themeColor="accent1" w:themeShade="80"/>
                <w:sz w:val="20"/>
              </w:rPr>
              <w:t>What is ERDF?</w:t>
            </w:r>
            <w:r w:rsidR="00E62F65" w:rsidRPr="00D85D0A">
              <w:rPr>
                <w:rFonts w:ascii="Verdana" w:eastAsia="Verdana" w:hAnsi="Verdana" w:cs="Verdana"/>
                <w:color w:val="1F4E79" w:themeColor="accent1" w:themeShade="80"/>
                <w:sz w:val="20"/>
              </w:rPr>
              <w:t xml:space="preserve"> </w:t>
            </w:r>
          </w:p>
          <w:p w:rsidR="0042555C" w:rsidRPr="00D85D0A" w:rsidRDefault="00FB1B5A">
            <w:pPr>
              <w:numPr>
                <w:ilvl w:val="0"/>
                <w:numId w:val="1"/>
              </w:numPr>
              <w:spacing w:after="146" w:line="242" w:lineRule="auto"/>
              <w:ind w:hanging="216"/>
              <w:rPr>
                <w:color w:val="1F4E79" w:themeColor="accent1" w:themeShade="80"/>
              </w:rPr>
            </w:pPr>
            <w:r w:rsidRPr="00D85D0A">
              <w:rPr>
                <w:rFonts w:ascii="Verdana" w:eastAsia="Verdana" w:hAnsi="Verdana" w:cs="Verdana"/>
                <w:color w:val="1F4E79" w:themeColor="accent1" w:themeShade="80"/>
                <w:sz w:val="20"/>
              </w:rPr>
              <w:t>Objectives</w:t>
            </w:r>
          </w:p>
          <w:p w:rsidR="0042555C" w:rsidRPr="00D85D0A" w:rsidRDefault="00E62F65">
            <w:pPr>
              <w:numPr>
                <w:ilvl w:val="0"/>
                <w:numId w:val="1"/>
              </w:numPr>
              <w:spacing w:after="106"/>
              <w:ind w:hanging="216"/>
              <w:rPr>
                <w:color w:val="1F4E79" w:themeColor="accent1" w:themeShade="80"/>
              </w:rPr>
            </w:pPr>
            <w:r w:rsidRPr="00D85D0A">
              <w:rPr>
                <w:rFonts w:ascii="Verdana" w:eastAsia="Verdana" w:hAnsi="Verdana" w:cs="Verdana"/>
                <w:color w:val="1F4E79" w:themeColor="accent1" w:themeShade="80"/>
                <w:sz w:val="20"/>
              </w:rPr>
              <w:t xml:space="preserve">Press Releases </w:t>
            </w:r>
          </w:p>
          <w:p w:rsidR="0042555C" w:rsidRPr="00D85D0A" w:rsidRDefault="00E62F65">
            <w:pPr>
              <w:numPr>
                <w:ilvl w:val="0"/>
                <w:numId w:val="1"/>
              </w:numPr>
              <w:spacing w:after="108"/>
              <w:ind w:hanging="216"/>
              <w:rPr>
                <w:color w:val="1F4E79" w:themeColor="accent1" w:themeShade="80"/>
              </w:rPr>
            </w:pPr>
            <w:r w:rsidRPr="00D85D0A">
              <w:rPr>
                <w:rFonts w:ascii="Verdana" w:eastAsia="Verdana" w:hAnsi="Verdana" w:cs="Verdana"/>
                <w:color w:val="1F4E79" w:themeColor="accent1" w:themeShade="80"/>
                <w:sz w:val="20"/>
              </w:rPr>
              <w:t xml:space="preserve">Case Studies </w:t>
            </w:r>
          </w:p>
          <w:p w:rsidR="00704A5B" w:rsidRPr="00D85D0A" w:rsidRDefault="00704A5B" w:rsidP="00704A5B">
            <w:pPr>
              <w:spacing w:after="106"/>
              <w:rPr>
                <w:rFonts w:ascii="Verdana" w:eastAsia="Verdana" w:hAnsi="Verdana" w:cs="Verdana"/>
                <w:color w:val="1F4E79" w:themeColor="accent1" w:themeShade="80"/>
                <w:sz w:val="20"/>
              </w:rPr>
            </w:pPr>
          </w:p>
          <w:p w:rsidR="0042555C" w:rsidRPr="004A07AA" w:rsidRDefault="004458A1" w:rsidP="004A07AA">
            <w:pPr>
              <w:spacing w:after="106"/>
              <w:rPr>
                <w:b/>
                <w:color w:val="1F4E79" w:themeColor="accent1" w:themeShade="80"/>
              </w:rPr>
            </w:pPr>
            <w:r w:rsidRPr="004A07AA">
              <w:rPr>
                <w:rFonts w:ascii="Verdana" w:eastAsia="Verdana" w:hAnsi="Verdana" w:cs="Verdana"/>
                <w:b/>
                <w:color w:val="1F4E79" w:themeColor="accent1" w:themeShade="80"/>
                <w:sz w:val="20"/>
              </w:rPr>
              <w:t>Useful links</w:t>
            </w:r>
          </w:p>
          <w:p w:rsidR="0042555C" w:rsidRPr="004A07AA" w:rsidRDefault="00E62F65">
            <w:pPr>
              <w:numPr>
                <w:ilvl w:val="0"/>
                <w:numId w:val="1"/>
              </w:numPr>
              <w:spacing w:after="106"/>
              <w:ind w:hanging="216"/>
              <w:rPr>
                <w:color w:val="1F4E79" w:themeColor="accent1" w:themeShade="80"/>
                <w:u w:val="single"/>
              </w:rPr>
            </w:pPr>
            <w:r w:rsidRPr="004A07AA">
              <w:rPr>
                <w:rFonts w:ascii="Verdana" w:eastAsia="Verdana" w:hAnsi="Verdana" w:cs="Verdana"/>
                <w:color w:val="1F4E79" w:themeColor="accent1" w:themeShade="80"/>
                <w:sz w:val="20"/>
                <w:u w:val="single"/>
              </w:rPr>
              <w:t xml:space="preserve">NI </w:t>
            </w:r>
            <w:hyperlink r:id="rId8">
              <w:r w:rsidRPr="004A07AA">
                <w:rPr>
                  <w:rFonts w:ascii="Verdana" w:eastAsia="Verdana" w:hAnsi="Verdana" w:cs="Verdana"/>
                  <w:color w:val="1F4E79" w:themeColor="accent1" w:themeShade="80"/>
                  <w:sz w:val="20"/>
                  <w:u w:val="single"/>
                </w:rPr>
                <w:t>IGJ website</w:t>
              </w:r>
            </w:hyperlink>
          </w:p>
          <w:p w:rsidR="004458A1" w:rsidRPr="004A07AA" w:rsidRDefault="00A9751A">
            <w:pPr>
              <w:numPr>
                <w:ilvl w:val="0"/>
                <w:numId w:val="1"/>
              </w:numPr>
              <w:spacing w:after="59" w:line="300" w:lineRule="auto"/>
              <w:ind w:hanging="216"/>
              <w:rPr>
                <w:color w:val="1F4E79" w:themeColor="accent1" w:themeShade="80"/>
                <w:u w:val="single"/>
              </w:rPr>
            </w:pPr>
            <w:hyperlink r:id="rId9">
              <w:r w:rsidR="00E62F65" w:rsidRPr="004A07AA">
                <w:rPr>
                  <w:rFonts w:ascii="Verdana" w:eastAsia="Verdana" w:hAnsi="Verdana" w:cs="Verdana"/>
                  <w:color w:val="1F4E79" w:themeColor="accent1" w:themeShade="80"/>
                  <w:sz w:val="20"/>
                  <w:u w:val="single"/>
                </w:rPr>
                <w:t xml:space="preserve">Invest NI </w:t>
              </w:r>
            </w:hyperlink>
            <w:hyperlink r:id="rId10">
              <w:r w:rsidR="00E62F65" w:rsidRPr="004A07AA">
                <w:rPr>
                  <w:rFonts w:ascii="Verdana" w:eastAsia="Verdana" w:hAnsi="Verdana" w:cs="Verdana"/>
                  <w:color w:val="1F4E79" w:themeColor="accent1" w:themeShade="80"/>
                  <w:sz w:val="20"/>
                  <w:u w:val="single"/>
                </w:rPr>
                <w:t>website</w:t>
              </w:r>
            </w:hyperlink>
          </w:p>
          <w:p w:rsidR="004458A1" w:rsidRDefault="004458A1" w:rsidP="004458A1">
            <w:pPr>
              <w:spacing w:after="59" w:line="300" w:lineRule="auto"/>
            </w:pPr>
          </w:p>
          <w:p w:rsidR="004458A1" w:rsidRPr="004458A1" w:rsidRDefault="004458A1" w:rsidP="00704A5B">
            <w:pPr>
              <w:spacing w:line="300" w:lineRule="auto"/>
              <w:rPr>
                <w:rFonts w:ascii="Verdana" w:eastAsia="Verdana" w:hAnsi="Verdana" w:cs="Verdana"/>
                <w:b/>
                <w:color w:val="002060"/>
                <w:sz w:val="20"/>
              </w:rPr>
            </w:pPr>
            <w:r>
              <w:rPr>
                <w:rFonts w:ascii="Verdana" w:eastAsia="Verdana" w:hAnsi="Verdana" w:cs="Verdana"/>
                <w:b/>
                <w:color w:val="002060"/>
                <w:sz w:val="20"/>
              </w:rPr>
              <w:t>Contact Us:</w:t>
            </w:r>
          </w:p>
          <w:p w:rsidR="0042555C" w:rsidRDefault="00A9751A" w:rsidP="00E87112">
            <w:pPr>
              <w:spacing w:line="300" w:lineRule="auto"/>
              <w:ind w:right="103"/>
            </w:pPr>
            <w:hyperlink r:id="rId11" w:history="1">
              <w:r w:rsidR="00E87112" w:rsidRPr="00136291">
                <w:rPr>
                  <w:rStyle w:val="Hyperlink"/>
                  <w:rFonts w:ascii="Verdana" w:eastAsia="Verdana" w:hAnsi="Verdana" w:cs="Verdana"/>
                  <w:color w:val="1F4E79" w:themeColor="accent1" w:themeShade="80"/>
                  <w:sz w:val="20"/>
                </w:rPr>
                <w:t>igjni@economyni.gov.uk</w:t>
              </w:r>
            </w:hyperlink>
          </w:p>
        </w:tc>
        <w:tc>
          <w:tcPr>
            <w:tcW w:w="8259" w:type="dxa"/>
            <w:tcBorders>
              <w:top w:val="single" w:sz="4" w:space="0" w:color="000000"/>
              <w:left w:val="single" w:sz="4" w:space="0" w:color="000000"/>
              <w:bottom w:val="single" w:sz="4" w:space="0" w:color="000000"/>
              <w:right w:val="single" w:sz="4" w:space="0" w:color="000000"/>
            </w:tcBorders>
          </w:tcPr>
          <w:p w:rsidR="0042555C" w:rsidRPr="00D85D0A" w:rsidRDefault="00E62F65" w:rsidP="00EA4D0E">
            <w:pPr>
              <w:ind w:right="141"/>
              <w:rPr>
                <w:rFonts w:ascii="Trebuchet MS" w:eastAsia="Trebuchet MS" w:hAnsi="Trebuchet MS" w:cs="Trebuchet MS"/>
                <w:color w:val="1F4E79" w:themeColor="accent1" w:themeShade="80"/>
                <w:sz w:val="36"/>
              </w:rPr>
            </w:pPr>
            <w:r w:rsidRPr="00D85D0A">
              <w:rPr>
                <w:rFonts w:ascii="Trebuchet MS" w:eastAsia="Trebuchet MS" w:hAnsi="Trebuchet MS" w:cs="Trebuchet MS"/>
                <w:color w:val="1F4E79" w:themeColor="accent1" w:themeShade="80"/>
                <w:sz w:val="36"/>
              </w:rPr>
              <w:t>P</w:t>
            </w:r>
            <w:r w:rsidR="00FB1B5A" w:rsidRPr="00D85D0A">
              <w:rPr>
                <w:rFonts w:ascii="Trebuchet MS" w:eastAsia="Trebuchet MS" w:hAnsi="Trebuchet MS" w:cs="Trebuchet MS"/>
                <w:color w:val="1F4E79" w:themeColor="accent1" w:themeShade="80"/>
                <w:sz w:val="36"/>
              </w:rPr>
              <w:t>rogramme Overview</w:t>
            </w:r>
          </w:p>
          <w:p w:rsidR="00FB1B5A" w:rsidRDefault="00FB1B5A" w:rsidP="00EA4D0E">
            <w:pPr>
              <w:ind w:right="141"/>
            </w:pPr>
          </w:p>
          <w:p w:rsidR="00FB1B5A" w:rsidRDefault="00FB1B5A" w:rsidP="00EA4D0E">
            <w:pPr>
              <w:spacing w:line="277" w:lineRule="auto"/>
              <w:ind w:right="141"/>
              <w:jc w:val="both"/>
              <w:rPr>
                <w:rFonts w:ascii="Verdana" w:eastAsia="Verdana" w:hAnsi="Verdana" w:cs="Verdana"/>
                <w:sz w:val="20"/>
              </w:rPr>
            </w:pPr>
            <w:r w:rsidRPr="00FB1B5A">
              <w:rPr>
                <w:rFonts w:ascii="Verdana" w:eastAsia="Verdana" w:hAnsi="Verdana" w:cs="Verdana"/>
                <w:sz w:val="20"/>
              </w:rPr>
              <w:t>ERDF is one of a number of European Union Structural and Investment (ESI) Funds.</w:t>
            </w:r>
          </w:p>
          <w:p w:rsidR="00FB1B5A" w:rsidRDefault="00FB1B5A" w:rsidP="00EA4D0E">
            <w:pPr>
              <w:spacing w:line="277" w:lineRule="auto"/>
              <w:ind w:right="141"/>
              <w:jc w:val="both"/>
              <w:rPr>
                <w:rFonts w:ascii="Verdana" w:eastAsia="Verdana" w:hAnsi="Verdana" w:cs="Verdana"/>
                <w:sz w:val="20"/>
              </w:rPr>
            </w:pPr>
          </w:p>
          <w:p w:rsidR="00FB1B5A" w:rsidRDefault="00FB1B5A" w:rsidP="00EA4D0E">
            <w:pPr>
              <w:spacing w:line="277" w:lineRule="auto"/>
              <w:ind w:right="141"/>
              <w:jc w:val="both"/>
              <w:rPr>
                <w:rFonts w:ascii="Verdana" w:eastAsia="Verdana" w:hAnsi="Verdana" w:cs="Verdana"/>
                <w:sz w:val="20"/>
              </w:rPr>
            </w:pPr>
            <w:r w:rsidRPr="00FB1B5A">
              <w:rPr>
                <w:rFonts w:ascii="Verdana" w:eastAsia="Verdana" w:hAnsi="Verdana" w:cs="Verdana"/>
                <w:sz w:val="20"/>
              </w:rPr>
              <w:t>The ESI funds have been specifically designed to reduce structural imbalances in economic performance within and between EU member countries.</w:t>
            </w:r>
            <w:r>
              <w:rPr>
                <w:rFonts w:ascii="Verdana" w:eastAsia="Verdana" w:hAnsi="Verdana" w:cs="Verdana"/>
                <w:sz w:val="20"/>
              </w:rPr>
              <w:t xml:space="preserve"> </w:t>
            </w:r>
            <w:r w:rsidRPr="00FB1B5A">
              <w:rPr>
                <w:rFonts w:ascii="Verdana" w:eastAsia="Verdana" w:hAnsi="Verdana" w:cs="Verdana"/>
                <w:sz w:val="20"/>
              </w:rPr>
              <w:t>In the UK funds are administered at a regional level to address regional issues. Part of the ERDF funding that Northern Ireland receives is delivered through the Investment for Growth and Jobs (IGJ) Programme.</w:t>
            </w:r>
          </w:p>
          <w:p w:rsidR="0042555C" w:rsidRDefault="00E62F65" w:rsidP="00EA4D0E">
            <w:pPr>
              <w:spacing w:after="19"/>
              <w:ind w:right="141"/>
            </w:pPr>
            <w:r>
              <w:rPr>
                <w:rFonts w:ascii="Verdana" w:eastAsia="Verdana" w:hAnsi="Verdana" w:cs="Verdana"/>
                <w:sz w:val="20"/>
              </w:rPr>
              <w:t xml:space="preserve"> </w:t>
            </w:r>
          </w:p>
          <w:p w:rsidR="0042555C" w:rsidRDefault="00FB1B5A" w:rsidP="00EA4D0E">
            <w:pPr>
              <w:spacing w:after="257"/>
              <w:ind w:right="141"/>
              <w:rPr>
                <w:rFonts w:ascii="Verdana" w:eastAsia="Verdana" w:hAnsi="Verdana" w:cs="Verdana"/>
                <w:b/>
                <w:color w:val="1F4E79" w:themeColor="accent1" w:themeShade="80"/>
                <w:sz w:val="20"/>
              </w:rPr>
            </w:pPr>
            <w:r>
              <w:rPr>
                <w:rFonts w:ascii="Verdana" w:eastAsia="Verdana" w:hAnsi="Verdana" w:cs="Verdana"/>
                <w:sz w:val="20"/>
              </w:rPr>
              <w:t xml:space="preserve">The Programme value is </w:t>
            </w:r>
            <w:r w:rsidRPr="00D85D0A">
              <w:rPr>
                <w:rFonts w:ascii="Verdana" w:eastAsia="Verdana" w:hAnsi="Verdana" w:cs="Verdana"/>
                <w:b/>
                <w:color w:val="1F4E79" w:themeColor="accent1" w:themeShade="80"/>
                <w:sz w:val="20"/>
              </w:rPr>
              <w:t>€522m.</w:t>
            </w:r>
          </w:p>
          <w:p w:rsidR="006417A4" w:rsidRDefault="006417A4" w:rsidP="00EA4D0E">
            <w:pPr>
              <w:ind w:right="141"/>
              <w:rPr>
                <w:rFonts w:ascii="Verdana" w:eastAsia="Verdana" w:hAnsi="Verdana" w:cs="Verdana"/>
                <w:sz w:val="20"/>
              </w:rPr>
            </w:pPr>
          </w:p>
          <w:p w:rsidR="0042555C" w:rsidRPr="00D85D0A" w:rsidRDefault="006417A4" w:rsidP="00EA4D0E">
            <w:pPr>
              <w:ind w:right="141"/>
              <w:rPr>
                <w:rFonts w:ascii="Trebuchet MS" w:eastAsia="Trebuchet MS" w:hAnsi="Trebuchet MS" w:cs="Trebuchet MS"/>
                <w:color w:val="1F4E79" w:themeColor="accent1" w:themeShade="80"/>
                <w:sz w:val="36"/>
              </w:rPr>
            </w:pPr>
            <w:r w:rsidRPr="00D85D0A">
              <w:rPr>
                <w:rFonts w:ascii="Trebuchet MS" w:eastAsia="Trebuchet MS" w:hAnsi="Trebuchet MS" w:cs="Trebuchet MS"/>
                <w:color w:val="1F4E79" w:themeColor="accent1" w:themeShade="80"/>
                <w:sz w:val="36"/>
              </w:rPr>
              <w:t>Objectives</w:t>
            </w:r>
          </w:p>
          <w:p w:rsidR="00FB1B5A" w:rsidRDefault="00FB1B5A" w:rsidP="00EA4D0E">
            <w:pPr>
              <w:ind w:right="141"/>
            </w:pPr>
          </w:p>
          <w:p w:rsidR="006417A4" w:rsidRPr="00D85D0A" w:rsidRDefault="006417A4" w:rsidP="00EA4D0E">
            <w:pPr>
              <w:spacing w:after="2" w:line="277" w:lineRule="auto"/>
              <w:ind w:right="141" w:firstLine="12"/>
              <w:jc w:val="both"/>
              <w:rPr>
                <w:rFonts w:ascii="Verdana" w:hAnsi="Verdana"/>
                <w:sz w:val="20"/>
                <w:szCs w:val="20"/>
              </w:rPr>
            </w:pPr>
            <w:r w:rsidRPr="00D85D0A">
              <w:rPr>
                <w:rFonts w:ascii="Verdana" w:hAnsi="Verdana"/>
                <w:sz w:val="20"/>
                <w:szCs w:val="20"/>
              </w:rPr>
              <w:t>The strategic objective of the Programme is to promote smart, sustainable and inclusive growth, the achievement of economic, social and territorial cohesion, and high levels of employment and productivity.</w:t>
            </w:r>
          </w:p>
          <w:p w:rsidR="006417A4" w:rsidRPr="00D85D0A" w:rsidRDefault="006417A4" w:rsidP="00EA4D0E">
            <w:pPr>
              <w:spacing w:after="2" w:line="277" w:lineRule="auto"/>
              <w:ind w:right="141" w:firstLine="12"/>
              <w:jc w:val="both"/>
              <w:rPr>
                <w:rFonts w:ascii="Verdana" w:hAnsi="Verdana"/>
                <w:sz w:val="20"/>
                <w:szCs w:val="20"/>
              </w:rPr>
            </w:pPr>
          </w:p>
          <w:p w:rsidR="006417A4" w:rsidRPr="00D85D0A" w:rsidRDefault="006417A4" w:rsidP="00EA4D0E">
            <w:pPr>
              <w:spacing w:line="277" w:lineRule="auto"/>
              <w:ind w:right="141" w:firstLine="12"/>
              <w:jc w:val="both"/>
              <w:rPr>
                <w:rFonts w:ascii="Verdana" w:hAnsi="Verdana"/>
                <w:sz w:val="20"/>
                <w:szCs w:val="20"/>
              </w:rPr>
            </w:pPr>
            <w:r w:rsidRPr="00D85D0A">
              <w:rPr>
                <w:rFonts w:ascii="Verdana" w:hAnsi="Verdana"/>
                <w:sz w:val="20"/>
                <w:szCs w:val="20"/>
              </w:rPr>
              <w:t>The Programme aims to:</w:t>
            </w:r>
          </w:p>
          <w:p w:rsidR="006417A4" w:rsidRPr="00D85D0A" w:rsidRDefault="006417A4" w:rsidP="00EA4D0E">
            <w:pPr>
              <w:spacing w:line="277" w:lineRule="auto"/>
              <w:ind w:right="141" w:firstLine="12"/>
              <w:jc w:val="both"/>
              <w:rPr>
                <w:rFonts w:ascii="Verdana" w:hAnsi="Verdana"/>
                <w:sz w:val="20"/>
                <w:szCs w:val="20"/>
              </w:rPr>
            </w:pPr>
          </w:p>
          <w:p w:rsidR="006417A4" w:rsidRPr="00D85D0A" w:rsidRDefault="006417A4" w:rsidP="00EA4D0E">
            <w:pPr>
              <w:pStyle w:val="ListParagraph"/>
              <w:numPr>
                <w:ilvl w:val="0"/>
                <w:numId w:val="4"/>
              </w:numPr>
              <w:spacing w:after="2" w:line="277" w:lineRule="auto"/>
              <w:ind w:right="141"/>
              <w:jc w:val="both"/>
              <w:rPr>
                <w:rFonts w:ascii="Verdana" w:hAnsi="Verdana"/>
                <w:sz w:val="20"/>
                <w:szCs w:val="20"/>
              </w:rPr>
            </w:pPr>
            <w:r w:rsidRPr="00D85D0A">
              <w:rPr>
                <w:rFonts w:ascii="Verdana" w:hAnsi="Verdana"/>
                <w:sz w:val="20"/>
                <w:szCs w:val="20"/>
              </w:rPr>
              <w:t>stimulate innovation, R&amp;D and creativity</w:t>
            </w:r>
          </w:p>
          <w:p w:rsidR="006417A4" w:rsidRPr="00D85D0A" w:rsidRDefault="006417A4" w:rsidP="00EA4D0E">
            <w:pPr>
              <w:pStyle w:val="ListParagraph"/>
              <w:numPr>
                <w:ilvl w:val="0"/>
                <w:numId w:val="4"/>
              </w:numPr>
              <w:spacing w:after="2" w:line="277" w:lineRule="auto"/>
              <w:ind w:right="141"/>
              <w:jc w:val="both"/>
              <w:rPr>
                <w:rFonts w:ascii="Verdana" w:hAnsi="Verdana"/>
                <w:sz w:val="20"/>
                <w:szCs w:val="20"/>
              </w:rPr>
            </w:pPr>
            <w:r w:rsidRPr="00D85D0A">
              <w:rPr>
                <w:rFonts w:ascii="Verdana" w:hAnsi="Verdana"/>
                <w:sz w:val="20"/>
                <w:szCs w:val="20"/>
              </w:rPr>
              <w:t>encourage business growth</w:t>
            </w:r>
          </w:p>
          <w:p w:rsidR="006417A4" w:rsidRPr="00D85D0A" w:rsidRDefault="006417A4" w:rsidP="00EA4D0E">
            <w:pPr>
              <w:pStyle w:val="ListParagraph"/>
              <w:numPr>
                <w:ilvl w:val="0"/>
                <w:numId w:val="4"/>
              </w:numPr>
              <w:spacing w:after="2" w:line="277" w:lineRule="auto"/>
              <w:ind w:right="141"/>
              <w:jc w:val="both"/>
              <w:rPr>
                <w:rFonts w:ascii="Verdana" w:hAnsi="Verdana"/>
                <w:sz w:val="20"/>
                <w:szCs w:val="20"/>
              </w:rPr>
            </w:pPr>
            <w:r w:rsidRPr="00D85D0A">
              <w:rPr>
                <w:rFonts w:ascii="Verdana" w:hAnsi="Verdana"/>
                <w:sz w:val="20"/>
                <w:szCs w:val="20"/>
              </w:rPr>
              <w:t>compete in the global economy</w:t>
            </w:r>
          </w:p>
          <w:p w:rsidR="006417A4" w:rsidRPr="00D85D0A" w:rsidRDefault="006417A4" w:rsidP="00EA4D0E">
            <w:pPr>
              <w:spacing w:after="2" w:line="277" w:lineRule="auto"/>
              <w:ind w:right="141"/>
              <w:jc w:val="both"/>
              <w:rPr>
                <w:rFonts w:ascii="Verdana" w:hAnsi="Verdana"/>
                <w:sz w:val="20"/>
                <w:szCs w:val="20"/>
              </w:rPr>
            </w:pPr>
          </w:p>
          <w:p w:rsidR="0042555C" w:rsidRPr="00D85D0A" w:rsidRDefault="006417A4" w:rsidP="00EA4D0E">
            <w:pPr>
              <w:spacing w:after="2" w:line="277" w:lineRule="auto"/>
              <w:ind w:right="141" w:firstLine="12"/>
              <w:jc w:val="both"/>
              <w:rPr>
                <w:rFonts w:ascii="Verdana" w:hAnsi="Verdana"/>
                <w:sz w:val="20"/>
                <w:szCs w:val="20"/>
              </w:rPr>
            </w:pPr>
            <w:r w:rsidRPr="00D85D0A">
              <w:rPr>
                <w:rFonts w:ascii="Verdana" w:hAnsi="Verdana"/>
                <w:sz w:val="20"/>
                <w:szCs w:val="20"/>
              </w:rPr>
              <w:t>The programme has three key priorities:</w:t>
            </w:r>
          </w:p>
          <w:p w:rsidR="00043B84" w:rsidRPr="00D85D0A" w:rsidRDefault="00043B84" w:rsidP="00EA4D0E">
            <w:pPr>
              <w:spacing w:after="2" w:line="277" w:lineRule="auto"/>
              <w:ind w:right="141" w:firstLine="12"/>
              <w:jc w:val="both"/>
              <w:rPr>
                <w:rFonts w:ascii="Verdana" w:hAnsi="Verdana"/>
                <w:sz w:val="20"/>
                <w:szCs w:val="20"/>
              </w:rPr>
            </w:pPr>
          </w:p>
          <w:p w:rsidR="00043B84" w:rsidRPr="00D85D0A" w:rsidRDefault="00043B84" w:rsidP="00EA4D0E">
            <w:pPr>
              <w:spacing w:after="2" w:line="277" w:lineRule="auto"/>
              <w:ind w:right="141" w:firstLine="12"/>
              <w:jc w:val="both"/>
              <w:rPr>
                <w:rFonts w:ascii="Verdana" w:hAnsi="Verdana"/>
                <w:b/>
                <w:color w:val="1F4E79" w:themeColor="accent1" w:themeShade="80"/>
                <w:sz w:val="20"/>
                <w:szCs w:val="20"/>
              </w:rPr>
            </w:pPr>
            <w:r w:rsidRPr="00D85D0A">
              <w:rPr>
                <w:rFonts w:ascii="Verdana" w:hAnsi="Verdana"/>
                <w:b/>
                <w:color w:val="1F4E79" w:themeColor="accent1" w:themeShade="80"/>
                <w:sz w:val="20"/>
                <w:szCs w:val="20"/>
              </w:rPr>
              <w:t>Priority 1 – Research Technological Development and Innovation</w:t>
            </w:r>
          </w:p>
          <w:p w:rsidR="00043B84" w:rsidRPr="00D85D0A" w:rsidRDefault="00D85D0A" w:rsidP="00EA4D0E">
            <w:pPr>
              <w:spacing w:after="2" w:line="277" w:lineRule="auto"/>
              <w:ind w:right="141" w:firstLine="12"/>
              <w:jc w:val="both"/>
              <w:rPr>
                <w:rFonts w:ascii="Verdana" w:hAnsi="Verdana"/>
                <w:sz w:val="20"/>
                <w:szCs w:val="20"/>
              </w:rPr>
            </w:pPr>
            <w:r>
              <w:rPr>
                <w:rFonts w:ascii="Verdana" w:hAnsi="Verdana"/>
                <w:sz w:val="20"/>
                <w:szCs w:val="20"/>
              </w:rPr>
              <w:t>€</w:t>
            </w:r>
            <w:r w:rsidR="00043B84" w:rsidRPr="00D85D0A">
              <w:rPr>
                <w:rFonts w:ascii="Verdana" w:hAnsi="Verdana"/>
                <w:sz w:val="20"/>
                <w:szCs w:val="20"/>
              </w:rPr>
              <w:t>128.6m ERDF has been delivered through Invest NI – Provision of grants for R&amp;D and support for Design. 228 unique businesses have benefited from this assistance.</w:t>
            </w:r>
          </w:p>
          <w:p w:rsidR="00043B84" w:rsidRPr="00D85D0A" w:rsidRDefault="00043B84" w:rsidP="00EA4D0E">
            <w:pPr>
              <w:spacing w:after="2" w:line="277" w:lineRule="auto"/>
              <w:ind w:right="141" w:firstLine="12"/>
              <w:jc w:val="both"/>
              <w:rPr>
                <w:rFonts w:ascii="Verdana" w:hAnsi="Verdana"/>
                <w:sz w:val="20"/>
                <w:szCs w:val="20"/>
              </w:rPr>
            </w:pPr>
          </w:p>
          <w:p w:rsidR="00043B84" w:rsidRPr="00D85D0A" w:rsidRDefault="00043B84" w:rsidP="00EA4D0E">
            <w:pPr>
              <w:spacing w:after="2" w:line="277" w:lineRule="auto"/>
              <w:ind w:right="141" w:firstLine="12"/>
              <w:jc w:val="both"/>
              <w:rPr>
                <w:rFonts w:ascii="Verdana" w:hAnsi="Verdana"/>
                <w:b/>
                <w:color w:val="1F4E79" w:themeColor="accent1" w:themeShade="80"/>
                <w:sz w:val="20"/>
                <w:szCs w:val="20"/>
              </w:rPr>
            </w:pPr>
            <w:r w:rsidRPr="00D85D0A">
              <w:rPr>
                <w:rFonts w:ascii="Verdana" w:hAnsi="Verdana"/>
                <w:b/>
                <w:color w:val="1F4E79" w:themeColor="accent1" w:themeShade="80"/>
                <w:sz w:val="20"/>
                <w:szCs w:val="20"/>
              </w:rPr>
              <w:t>Priority 2 – SME Competitiveness (Invest NI)</w:t>
            </w:r>
          </w:p>
          <w:p w:rsidR="00043B84" w:rsidRPr="00D85D0A" w:rsidRDefault="00D85D0A" w:rsidP="00EA4D0E">
            <w:pPr>
              <w:spacing w:after="2" w:line="277" w:lineRule="auto"/>
              <w:ind w:right="141" w:firstLine="12"/>
              <w:jc w:val="both"/>
              <w:rPr>
                <w:rFonts w:ascii="Verdana" w:hAnsi="Verdana"/>
                <w:sz w:val="20"/>
                <w:szCs w:val="20"/>
              </w:rPr>
            </w:pPr>
            <w:r>
              <w:rPr>
                <w:rFonts w:ascii="Verdana" w:hAnsi="Verdana"/>
                <w:sz w:val="20"/>
                <w:szCs w:val="20"/>
              </w:rPr>
              <w:t>€</w:t>
            </w:r>
            <w:r w:rsidR="00043B84" w:rsidRPr="00D85D0A">
              <w:rPr>
                <w:rFonts w:ascii="Verdana" w:hAnsi="Verdana"/>
                <w:sz w:val="20"/>
                <w:szCs w:val="20"/>
              </w:rPr>
              <w:t>92.7m ERDF has been delivered though Invest NI – Financial Instruments, Selective Financial Assistance and Local Economic Development. Providing a suite of Access to Finance and SME Growth initiatives. 311 investments have been made from Financial Instruments.</w:t>
            </w:r>
          </w:p>
          <w:p w:rsidR="00043B84" w:rsidRPr="00D85D0A" w:rsidRDefault="00043B84" w:rsidP="00EA4D0E">
            <w:pPr>
              <w:spacing w:after="2" w:line="277" w:lineRule="auto"/>
              <w:ind w:right="141" w:firstLine="12"/>
              <w:jc w:val="both"/>
              <w:rPr>
                <w:rFonts w:ascii="Verdana" w:hAnsi="Verdana"/>
                <w:sz w:val="20"/>
                <w:szCs w:val="20"/>
              </w:rPr>
            </w:pPr>
          </w:p>
          <w:p w:rsidR="00043B84" w:rsidRPr="00D85D0A" w:rsidRDefault="00043B84" w:rsidP="00EA4D0E">
            <w:pPr>
              <w:spacing w:after="2" w:line="277" w:lineRule="auto"/>
              <w:ind w:right="141" w:firstLine="12"/>
              <w:jc w:val="both"/>
              <w:rPr>
                <w:rFonts w:ascii="Verdana" w:hAnsi="Verdana"/>
                <w:b/>
                <w:color w:val="1F4E79" w:themeColor="accent1" w:themeShade="80"/>
                <w:sz w:val="20"/>
                <w:szCs w:val="20"/>
              </w:rPr>
            </w:pPr>
            <w:r w:rsidRPr="00D85D0A">
              <w:rPr>
                <w:rFonts w:ascii="Verdana" w:hAnsi="Verdana"/>
                <w:b/>
                <w:color w:val="1F4E79" w:themeColor="accent1" w:themeShade="80"/>
                <w:sz w:val="20"/>
                <w:szCs w:val="20"/>
              </w:rPr>
              <w:t>Priority 3 – Energy from Renewable Sources (DfI and DfC)</w:t>
            </w:r>
          </w:p>
          <w:p w:rsidR="00043B84" w:rsidRDefault="00D85D0A" w:rsidP="00A31E95">
            <w:pPr>
              <w:spacing w:after="2" w:line="277" w:lineRule="auto"/>
              <w:ind w:right="141" w:firstLine="12"/>
              <w:jc w:val="both"/>
            </w:pPr>
            <w:r>
              <w:rPr>
                <w:rFonts w:ascii="Verdana" w:hAnsi="Verdana"/>
                <w:sz w:val="20"/>
                <w:szCs w:val="20"/>
              </w:rPr>
              <w:t>€</w:t>
            </w:r>
            <w:r w:rsidR="00043B84" w:rsidRPr="00D85D0A">
              <w:rPr>
                <w:rFonts w:ascii="Verdana" w:hAnsi="Verdana"/>
                <w:sz w:val="20"/>
                <w:szCs w:val="20"/>
              </w:rPr>
              <w:t xml:space="preserve">36.1m ERDF </w:t>
            </w:r>
            <w:r w:rsidR="0052652A" w:rsidRPr="00D85D0A">
              <w:rPr>
                <w:rFonts w:ascii="Verdana" w:hAnsi="Verdana"/>
                <w:sz w:val="20"/>
                <w:szCs w:val="20"/>
              </w:rPr>
              <w:t>Rapid Transit and Energy Efficiency in Social Housing has been delivered through Department for Infrastructure (Belfast Rapid Transit Scheme, support for new depot and ticketing machines), and Department for Communities (improvement of energy efficiency in social housing).</w:t>
            </w:r>
          </w:p>
        </w:tc>
        <w:bookmarkStart w:id="0" w:name="_GoBack"/>
        <w:bookmarkEnd w:id="0"/>
      </w:tr>
    </w:tbl>
    <w:p w:rsidR="0042555C" w:rsidRDefault="0042555C">
      <w:pPr>
        <w:spacing w:after="0"/>
        <w:ind w:left="-1440" w:right="10466"/>
      </w:pPr>
    </w:p>
    <w:tbl>
      <w:tblPr>
        <w:tblStyle w:val="TableGrid"/>
        <w:tblW w:w="10884" w:type="dxa"/>
        <w:tblInd w:w="-929" w:type="dxa"/>
        <w:tblCellMar>
          <w:top w:w="54" w:type="dxa"/>
          <w:left w:w="108" w:type="dxa"/>
          <w:right w:w="38" w:type="dxa"/>
        </w:tblCellMar>
        <w:tblLook w:val="04A0" w:firstRow="1" w:lastRow="0" w:firstColumn="1" w:lastColumn="0" w:noHBand="0" w:noVBand="1"/>
        <w:tblDescription w:val="Press Releases and Case Studies for IGJ Programme"/>
      </w:tblPr>
      <w:tblGrid>
        <w:gridCol w:w="2625"/>
        <w:gridCol w:w="8259"/>
      </w:tblGrid>
      <w:tr w:rsidR="0042555C" w:rsidTr="00A9751A">
        <w:trPr>
          <w:trHeight w:val="13539"/>
          <w:tblHeader/>
        </w:trPr>
        <w:tc>
          <w:tcPr>
            <w:tcW w:w="2625" w:type="dxa"/>
            <w:tcBorders>
              <w:top w:val="single" w:sz="4" w:space="0" w:color="000000"/>
              <w:left w:val="single" w:sz="4" w:space="0" w:color="000000"/>
              <w:bottom w:val="single" w:sz="4" w:space="0" w:color="000000"/>
              <w:right w:val="single" w:sz="4" w:space="0" w:color="000000"/>
            </w:tcBorders>
          </w:tcPr>
          <w:p w:rsidR="0042555C" w:rsidRDefault="0042555C">
            <w:pPr>
              <w:ind w:left="101"/>
            </w:pPr>
          </w:p>
        </w:tc>
        <w:tc>
          <w:tcPr>
            <w:tcW w:w="8259" w:type="dxa"/>
            <w:tcBorders>
              <w:top w:val="single" w:sz="4" w:space="0" w:color="000000"/>
              <w:left w:val="single" w:sz="4" w:space="0" w:color="000000"/>
              <w:bottom w:val="single" w:sz="4" w:space="0" w:color="000000"/>
              <w:right w:val="single" w:sz="4" w:space="0" w:color="000000"/>
            </w:tcBorders>
          </w:tcPr>
          <w:p w:rsidR="0042555C" w:rsidRPr="00D85D0A" w:rsidRDefault="00E62F65" w:rsidP="00EA4D0E">
            <w:pPr>
              <w:spacing w:after="257"/>
              <w:ind w:right="141"/>
              <w:rPr>
                <w:color w:val="1F4E79" w:themeColor="accent1" w:themeShade="80"/>
              </w:rPr>
            </w:pPr>
            <w:r w:rsidRPr="00D85D0A">
              <w:rPr>
                <w:rFonts w:ascii="Trebuchet MS" w:eastAsia="Trebuchet MS" w:hAnsi="Trebuchet MS" w:cs="Trebuchet MS"/>
                <w:color w:val="1F4E79" w:themeColor="accent1" w:themeShade="80"/>
                <w:sz w:val="36"/>
              </w:rPr>
              <w:t xml:space="preserve">Press Releases </w:t>
            </w:r>
          </w:p>
          <w:p w:rsidR="0042555C" w:rsidRDefault="00E62F65" w:rsidP="009D4FFB">
            <w:pPr>
              <w:spacing w:line="278" w:lineRule="auto"/>
              <w:ind w:right="141"/>
              <w:jc w:val="both"/>
              <w:rPr>
                <w:rFonts w:ascii="Verdana" w:eastAsia="Verdana" w:hAnsi="Verdana" w:cs="Verdana"/>
                <w:sz w:val="20"/>
              </w:rPr>
            </w:pPr>
            <w:r>
              <w:rPr>
                <w:rFonts w:ascii="Verdana" w:eastAsia="Verdana" w:hAnsi="Verdana" w:cs="Verdana"/>
                <w:sz w:val="20"/>
              </w:rPr>
              <w:t>Invest NI publishes press releases to promote ERDF funded activity, a selection of which can be access</w:t>
            </w:r>
            <w:r w:rsidR="009D4FFB">
              <w:rPr>
                <w:rFonts w:ascii="Verdana" w:eastAsia="Verdana" w:hAnsi="Verdana" w:cs="Verdana"/>
                <w:sz w:val="20"/>
              </w:rPr>
              <w:t>ed through the following links:</w:t>
            </w:r>
          </w:p>
          <w:p w:rsidR="009D4FFB" w:rsidRDefault="009D4FFB" w:rsidP="009D4FFB">
            <w:pPr>
              <w:spacing w:line="278" w:lineRule="auto"/>
              <w:ind w:right="141"/>
              <w:jc w:val="both"/>
            </w:pPr>
          </w:p>
          <w:p w:rsidR="0042555C" w:rsidRPr="00EA4D0E" w:rsidRDefault="0052652A" w:rsidP="00EA4D0E">
            <w:pPr>
              <w:pStyle w:val="ListParagraph"/>
              <w:numPr>
                <w:ilvl w:val="0"/>
                <w:numId w:val="7"/>
              </w:numPr>
              <w:spacing w:after="43" w:line="360" w:lineRule="auto"/>
              <w:ind w:right="141"/>
              <w:rPr>
                <w:color w:val="1F4E79" w:themeColor="accent1" w:themeShade="80"/>
                <w:u w:val="single"/>
              </w:rPr>
            </w:pPr>
            <w:r w:rsidRPr="00EA4D0E">
              <w:rPr>
                <w:rFonts w:ascii="Verdana" w:eastAsia="Verdana" w:hAnsi="Verdana" w:cs="Verdana"/>
                <w:color w:val="1F4E79" w:themeColor="accent1" w:themeShade="80"/>
                <w:sz w:val="20"/>
                <w:u w:val="single"/>
              </w:rPr>
              <w:t>Invest NI announces two new Equity Funds for investments in Innovative SMEs</w:t>
            </w:r>
            <w:r w:rsidR="00E62F65" w:rsidRPr="00EA4D0E">
              <w:rPr>
                <w:rFonts w:ascii="Verdana" w:eastAsia="Verdana" w:hAnsi="Verdana" w:cs="Verdana"/>
                <w:color w:val="1F4E79" w:themeColor="accent1" w:themeShade="80"/>
                <w:sz w:val="20"/>
                <w:u w:val="single"/>
              </w:rPr>
              <w:t xml:space="preserve"> </w:t>
            </w:r>
          </w:p>
          <w:p w:rsidR="0042555C" w:rsidRPr="00EA4D0E" w:rsidRDefault="00A9751A" w:rsidP="00EA4D0E">
            <w:pPr>
              <w:pStyle w:val="ListParagraph"/>
              <w:numPr>
                <w:ilvl w:val="0"/>
                <w:numId w:val="6"/>
              </w:numPr>
              <w:spacing w:after="43" w:line="360" w:lineRule="auto"/>
              <w:ind w:right="141"/>
              <w:rPr>
                <w:color w:val="1F4E79" w:themeColor="accent1" w:themeShade="80"/>
                <w:u w:val="single"/>
              </w:rPr>
            </w:pPr>
            <w:hyperlink r:id="rId12" w:history="1">
              <w:r w:rsidR="00EA4D0E" w:rsidRPr="00EA4D0E">
                <w:rPr>
                  <w:rStyle w:val="Hyperlink"/>
                  <w:rFonts w:ascii="Segoe UI" w:eastAsia="Segoe UI" w:hAnsi="Segoe UI" w:cs="Segoe UI"/>
                  <w:color w:val="023160" w:themeColor="hyperlink" w:themeShade="80"/>
                  <w:sz w:val="21"/>
                </w:rPr>
                <w:t>Raylo set to innovate smartphone industry with Northern Ireland centre</w:t>
              </w:r>
            </w:hyperlink>
          </w:p>
          <w:p w:rsidR="0042555C" w:rsidRPr="00EA4D0E" w:rsidRDefault="00A9751A" w:rsidP="00EA4D0E">
            <w:pPr>
              <w:pStyle w:val="ListParagraph"/>
              <w:numPr>
                <w:ilvl w:val="0"/>
                <w:numId w:val="5"/>
              </w:numPr>
              <w:spacing w:line="360" w:lineRule="auto"/>
              <w:ind w:right="141"/>
              <w:rPr>
                <w:color w:val="1F4E79" w:themeColor="accent1" w:themeShade="80"/>
              </w:rPr>
            </w:pPr>
            <w:hyperlink r:id="rId13" w:history="1">
              <w:r w:rsidR="0052652A" w:rsidRPr="00EA4D0E">
                <w:rPr>
                  <w:rStyle w:val="Hyperlink"/>
                  <w:color w:val="1F4E79" w:themeColor="accent1" w:themeShade="80"/>
                </w:rPr>
                <w:t>UAE and Qatar export success export success leads to new jobs at Derry-based Joule</w:t>
              </w:r>
            </w:hyperlink>
          </w:p>
          <w:p w:rsidR="0052652A" w:rsidRDefault="0052652A" w:rsidP="00EA4D0E">
            <w:pPr>
              <w:spacing w:line="360" w:lineRule="auto"/>
              <w:ind w:right="141"/>
            </w:pPr>
          </w:p>
          <w:p w:rsidR="0042555C" w:rsidRPr="00D85D0A" w:rsidRDefault="00E62F65" w:rsidP="00EA4D0E">
            <w:pPr>
              <w:ind w:right="141"/>
              <w:rPr>
                <w:rFonts w:ascii="Trebuchet MS" w:eastAsia="Trebuchet MS" w:hAnsi="Trebuchet MS" w:cs="Trebuchet MS"/>
                <w:color w:val="1F4E79" w:themeColor="accent1" w:themeShade="80"/>
                <w:sz w:val="36"/>
              </w:rPr>
            </w:pPr>
            <w:r w:rsidRPr="00D85D0A">
              <w:rPr>
                <w:rFonts w:ascii="Trebuchet MS" w:eastAsia="Trebuchet MS" w:hAnsi="Trebuchet MS" w:cs="Trebuchet MS"/>
                <w:color w:val="1F4E79" w:themeColor="accent1" w:themeShade="80"/>
                <w:sz w:val="36"/>
              </w:rPr>
              <w:t xml:space="preserve">Case Studies </w:t>
            </w:r>
          </w:p>
          <w:p w:rsidR="00071958" w:rsidRDefault="00071958" w:rsidP="00EA4D0E">
            <w:pPr>
              <w:ind w:right="141"/>
              <w:rPr>
                <w:rFonts w:ascii="Verdana" w:eastAsia="Trebuchet MS" w:hAnsi="Verdana" w:cs="Trebuchet MS"/>
                <w:color w:val="0066CC"/>
                <w:sz w:val="20"/>
                <w:szCs w:val="20"/>
              </w:rPr>
            </w:pPr>
          </w:p>
          <w:p w:rsidR="00071958" w:rsidRDefault="00071958" w:rsidP="00EA4D0E">
            <w:pPr>
              <w:ind w:right="141"/>
              <w:jc w:val="both"/>
              <w:rPr>
                <w:rFonts w:ascii="Verdana" w:hAnsi="Verdana"/>
                <w:sz w:val="20"/>
                <w:szCs w:val="20"/>
              </w:rPr>
            </w:pPr>
            <w:r w:rsidRPr="00EA4D0E">
              <w:rPr>
                <w:rFonts w:ascii="Verdana" w:hAnsi="Verdana"/>
                <w:b/>
                <w:color w:val="1F4E79" w:themeColor="accent1" w:themeShade="80"/>
                <w:sz w:val="20"/>
                <w:szCs w:val="20"/>
              </w:rPr>
              <w:t>Neurovalens</w:t>
            </w:r>
            <w:r>
              <w:rPr>
                <w:rFonts w:ascii="Verdana" w:hAnsi="Verdana"/>
                <w:sz w:val="20"/>
                <w:szCs w:val="20"/>
              </w:rPr>
              <w:t xml:space="preserve"> is a Belfast based health a tech company </w:t>
            </w:r>
            <w:r w:rsidR="00AD75CF">
              <w:rPr>
                <w:rFonts w:ascii="Verdana" w:hAnsi="Verdana"/>
                <w:sz w:val="20"/>
                <w:szCs w:val="20"/>
              </w:rPr>
              <w:t>and</w:t>
            </w:r>
            <w:r>
              <w:rPr>
                <w:rFonts w:ascii="Verdana" w:hAnsi="Verdana"/>
                <w:sz w:val="20"/>
                <w:szCs w:val="20"/>
              </w:rPr>
              <w:t xml:space="preserve"> a global leader of neuro-technology products, is embarking on the development of a ground-breaking medical device for the treatment of obesity</w:t>
            </w:r>
            <w:r w:rsidR="00EA4D0E">
              <w:rPr>
                <w:rFonts w:ascii="Verdana" w:hAnsi="Verdana"/>
                <w:sz w:val="20"/>
                <w:szCs w:val="20"/>
              </w:rPr>
              <w:t>.</w:t>
            </w:r>
          </w:p>
          <w:p w:rsidR="00071958" w:rsidRPr="004C0901" w:rsidRDefault="00071958" w:rsidP="00EA4D0E">
            <w:pPr>
              <w:ind w:right="141"/>
              <w:jc w:val="both"/>
              <w:rPr>
                <w:rFonts w:ascii="Verdana" w:hAnsi="Verdana"/>
                <w:sz w:val="8"/>
                <w:szCs w:val="8"/>
              </w:rPr>
            </w:pPr>
          </w:p>
          <w:p w:rsidR="00071958" w:rsidRPr="004C0901" w:rsidRDefault="00A9751A" w:rsidP="00EA4D0E">
            <w:pPr>
              <w:ind w:right="141"/>
              <w:jc w:val="both"/>
              <w:rPr>
                <w:rFonts w:ascii="Verdana" w:hAnsi="Verdana"/>
                <w:color w:val="1F4E79" w:themeColor="accent1" w:themeShade="80"/>
                <w:sz w:val="20"/>
                <w:szCs w:val="20"/>
                <w:u w:val="single"/>
              </w:rPr>
            </w:pPr>
            <w:hyperlink r:id="rId14" w:history="1">
              <w:r w:rsidR="00071958" w:rsidRPr="004C0901">
                <w:rPr>
                  <w:rStyle w:val="Hyperlink"/>
                  <w:rFonts w:ascii="Verdana" w:hAnsi="Verdana"/>
                  <w:color w:val="1F4E79" w:themeColor="accent1" w:themeShade="80"/>
                  <w:sz w:val="20"/>
                  <w:szCs w:val="20"/>
                </w:rPr>
                <w:t xml:space="preserve">Dr. Jason McKeown on how to Access to Finance has helped </w:t>
              </w:r>
              <w:r w:rsidR="00071958" w:rsidRPr="004C0901">
                <w:rPr>
                  <w:rStyle w:val="Hyperlink"/>
                  <w:rFonts w:ascii="Verdana" w:hAnsi="Verdana"/>
                  <w:b/>
                  <w:color w:val="1F4E79" w:themeColor="accent1" w:themeShade="80"/>
                  <w:sz w:val="20"/>
                  <w:szCs w:val="20"/>
                </w:rPr>
                <w:t>Neurovalens</w:t>
              </w:r>
              <w:r w:rsidR="00071958" w:rsidRPr="004C0901">
                <w:rPr>
                  <w:rStyle w:val="Hyperlink"/>
                  <w:rFonts w:ascii="Verdana" w:hAnsi="Verdana"/>
                  <w:color w:val="1F4E79" w:themeColor="accent1" w:themeShade="80"/>
                  <w:sz w:val="20"/>
                  <w:szCs w:val="20"/>
                </w:rPr>
                <w:t xml:space="preserve"> grow</w:t>
              </w:r>
            </w:hyperlink>
          </w:p>
          <w:p w:rsidR="00EA4D0E" w:rsidRPr="00BB36C5" w:rsidRDefault="00EA4D0E" w:rsidP="00BB36C5">
            <w:pPr>
              <w:spacing w:line="276" w:lineRule="auto"/>
              <w:rPr>
                <w:rFonts w:ascii="Verdana" w:hAnsi="Verdana"/>
                <w:sz w:val="20"/>
                <w:szCs w:val="20"/>
              </w:rPr>
            </w:pPr>
          </w:p>
          <w:p w:rsidR="00071958" w:rsidRPr="00BB36C5" w:rsidRDefault="00071958" w:rsidP="00BB36C5">
            <w:pPr>
              <w:spacing w:line="276" w:lineRule="auto"/>
              <w:ind w:right="141"/>
              <w:jc w:val="both"/>
              <w:rPr>
                <w:rFonts w:ascii="Verdana" w:hAnsi="Verdana"/>
                <w:sz w:val="20"/>
                <w:szCs w:val="20"/>
              </w:rPr>
            </w:pPr>
          </w:p>
          <w:p w:rsidR="00071958" w:rsidRDefault="00071958" w:rsidP="00EA4D0E">
            <w:pPr>
              <w:spacing w:line="276" w:lineRule="auto"/>
              <w:ind w:right="141"/>
              <w:jc w:val="both"/>
              <w:rPr>
                <w:rFonts w:ascii="Verdana" w:hAnsi="Verdana"/>
                <w:sz w:val="20"/>
                <w:szCs w:val="20"/>
              </w:rPr>
            </w:pPr>
            <w:r w:rsidRPr="00EA4D0E">
              <w:rPr>
                <w:rFonts w:ascii="Verdana" w:hAnsi="Verdana"/>
                <w:b/>
                <w:color w:val="1F4E79" w:themeColor="accent1" w:themeShade="80"/>
                <w:sz w:val="20"/>
                <w:szCs w:val="20"/>
              </w:rPr>
              <w:t>Creative Composites</w:t>
            </w:r>
            <w:r w:rsidR="00BE52CE" w:rsidRPr="00EA4D0E">
              <w:rPr>
                <w:rFonts w:ascii="Verdana" w:hAnsi="Verdana"/>
                <w:b/>
                <w:color w:val="1F4E79" w:themeColor="accent1" w:themeShade="80"/>
                <w:sz w:val="20"/>
                <w:szCs w:val="20"/>
              </w:rPr>
              <w:t xml:space="preserve"> Ltd</w:t>
            </w:r>
            <w:r w:rsidR="00BE52CE" w:rsidRPr="00BE52CE">
              <w:rPr>
                <w:rFonts w:ascii="Verdana" w:hAnsi="Verdana"/>
                <w:sz w:val="20"/>
                <w:szCs w:val="20"/>
              </w:rPr>
              <w:t xml:space="preserve"> is investing £11million in new machinery and expansion of its facilities to capitalise on growth opportunities for composite components. 132 new jobs are also being created as part of the expansion, half of which are already in place. The new jobs being recruited include production operatives, engineering and managerial positions. Once all the jobs are in place they will generate over £2.7million annually in additional salaries to the local economy.</w:t>
            </w:r>
          </w:p>
          <w:p w:rsidR="00AD75CF" w:rsidRDefault="00AD75CF" w:rsidP="00EA4D0E">
            <w:pPr>
              <w:spacing w:line="276" w:lineRule="auto"/>
              <w:ind w:right="141"/>
              <w:jc w:val="both"/>
              <w:rPr>
                <w:rFonts w:ascii="Verdana" w:hAnsi="Verdana"/>
                <w:sz w:val="20"/>
                <w:szCs w:val="20"/>
              </w:rPr>
            </w:pPr>
          </w:p>
          <w:p w:rsidR="00AD75CF" w:rsidRDefault="00AD75CF" w:rsidP="00EA4D0E">
            <w:pPr>
              <w:spacing w:line="276" w:lineRule="auto"/>
              <w:ind w:right="141"/>
              <w:jc w:val="both"/>
              <w:rPr>
                <w:rFonts w:ascii="Verdana" w:hAnsi="Verdana"/>
                <w:sz w:val="20"/>
                <w:szCs w:val="20"/>
              </w:rPr>
            </w:pPr>
          </w:p>
          <w:p w:rsidR="00AD75CF" w:rsidRDefault="00AD75CF" w:rsidP="00EA4D0E">
            <w:pPr>
              <w:spacing w:line="276" w:lineRule="auto"/>
              <w:ind w:right="141"/>
              <w:jc w:val="both"/>
              <w:rPr>
                <w:rFonts w:ascii="Verdana" w:hAnsi="Verdana"/>
                <w:sz w:val="20"/>
                <w:szCs w:val="20"/>
              </w:rPr>
            </w:pPr>
            <w:r w:rsidRPr="00EA4D0E">
              <w:rPr>
                <w:rFonts w:ascii="Verdana" w:hAnsi="Verdana"/>
                <w:b/>
                <w:color w:val="1F4E79" w:themeColor="accent1" w:themeShade="80"/>
                <w:sz w:val="20"/>
                <w:szCs w:val="20"/>
              </w:rPr>
              <w:t xml:space="preserve">Neurovalens </w:t>
            </w:r>
            <w:r w:rsidRPr="00AD75CF">
              <w:rPr>
                <w:rFonts w:ascii="Verdana" w:hAnsi="Verdana"/>
                <w:sz w:val="20"/>
                <w:szCs w:val="20"/>
              </w:rPr>
              <w:t>embarks on second ground-breaking R&amp;D project and creates 22 new jobs</w:t>
            </w:r>
            <w:r w:rsidR="00A80C7D">
              <w:rPr>
                <w:rFonts w:ascii="Verdana" w:hAnsi="Verdana"/>
                <w:sz w:val="20"/>
                <w:szCs w:val="20"/>
              </w:rPr>
              <w:t xml:space="preserve">. </w:t>
            </w:r>
            <w:r w:rsidRPr="00AD75CF">
              <w:rPr>
                <w:rFonts w:ascii="Verdana" w:hAnsi="Verdana"/>
                <w:sz w:val="20"/>
                <w:szCs w:val="20"/>
              </w:rPr>
              <w:t>The company specialises in combining neuroscience and technology to tackle global health challenges such as obesity, diabetes and sleep disorders. The investment in research and development will be accompanied by the creation of 22 jobs to support business-wide growth.</w:t>
            </w:r>
          </w:p>
          <w:p w:rsidR="00A80C7D" w:rsidRDefault="00A80C7D" w:rsidP="00EA4D0E">
            <w:pPr>
              <w:spacing w:line="276" w:lineRule="auto"/>
              <w:ind w:right="141"/>
              <w:jc w:val="both"/>
              <w:rPr>
                <w:rFonts w:ascii="Verdana" w:hAnsi="Verdana"/>
                <w:sz w:val="20"/>
                <w:szCs w:val="20"/>
              </w:rPr>
            </w:pPr>
          </w:p>
          <w:p w:rsidR="00A80C7D" w:rsidRDefault="00A80C7D" w:rsidP="00EA4D0E">
            <w:pPr>
              <w:spacing w:line="276" w:lineRule="auto"/>
              <w:ind w:right="141"/>
              <w:jc w:val="both"/>
              <w:rPr>
                <w:rFonts w:ascii="Verdana" w:hAnsi="Verdana"/>
                <w:sz w:val="20"/>
                <w:szCs w:val="20"/>
              </w:rPr>
            </w:pPr>
            <w:r w:rsidRPr="00A80C7D">
              <w:rPr>
                <w:rFonts w:ascii="Verdana" w:hAnsi="Verdana"/>
                <w:sz w:val="20"/>
                <w:szCs w:val="20"/>
              </w:rPr>
              <w:t xml:space="preserve">The Managing Authority regularly updates the dedicated </w:t>
            </w:r>
            <w:hyperlink r:id="rId15" w:history="1">
              <w:r w:rsidRPr="00EA4D0E">
                <w:rPr>
                  <w:rStyle w:val="Hyperlink"/>
                  <w:rFonts w:ascii="Verdana" w:hAnsi="Verdana"/>
                  <w:b/>
                  <w:color w:val="023160" w:themeColor="hyperlink" w:themeShade="80"/>
                  <w:sz w:val="20"/>
                  <w:szCs w:val="20"/>
                </w:rPr>
                <w:t>Programme Website</w:t>
              </w:r>
            </w:hyperlink>
            <w:r w:rsidRPr="00A80C7D">
              <w:rPr>
                <w:rFonts w:ascii="Verdana" w:hAnsi="Verdana"/>
                <w:sz w:val="20"/>
                <w:szCs w:val="20"/>
              </w:rPr>
              <w:t xml:space="preserve"> highlighting the benefit that ERDF funding makes in Northern Ireland</w:t>
            </w:r>
          </w:p>
          <w:p w:rsidR="00A80C7D" w:rsidRDefault="00A80C7D" w:rsidP="00EA4D0E">
            <w:pPr>
              <w:spacing w:line="276" w:lineRule="auto"/>
              <w:ind w:right="141"/>
              <w:jc w:val="both"/>
              <w:rPr>
                <w:rFonts w:ascii="Verdana" w:hAnsi="Verdana"/>
                <w:sz w:val="20"/>
                <w:szCs w:val="20"/>
              </w:rPr>
            </w:pPr>
          </w:p>
          <w:p w:rsidR="00A80C7D" w:rsidRDefault="00A80C7D" w:rsidP="00EA4D0E">
            <w:pPr>
              <w:spacing w:line="276" w:lineRule="auto"/>
              <w:ind w:right="141"/>
              <w:jc w:val="both"/>
              <w:rPr>
                <w:rFonts w:ascii="Verdana" w:hAnsi="Verdana"/>
                <w:sz w:val="20"/>
                <w:szCs w:val="20"/>
              </w:rPr>
            </w:pPr>
          </w:p>
          <w:p w:rsidR="00A80C7D" w:rsidRDefault="009D4FFB" w:rsidP="009D4FFB">
            <w:pPr>
              <w:ind w:right="141"/>
              <w:rPr>
                <w:rFonts w:ascii="Trebuchet MS" w:eastAsia="Trebuchet MS" w:hAnsi="Trebuchet MS" w:cs="Trebuchet MS"/>
                <w:color w:val="1F4E79" w:themeColor="accent1" w:themeShade="80"/>
                <w:sz w:val="36"/>
              </w:rPr>
            </w:pPr>
            <w:r>
              <w:rPr>
                <w:rFonts w:ascii="Trebuchet MS" w:eastAsia="Trebuchet MS" w:hAnsi="Trebuchet MS" w:cs="Trebuchet MS"/>
                <w:color w:val="1F4E79" w:themeColor="accent1" w:themeShade="80"/>
                <w:sz w:val="36"/>
              </w:rPr>
              <w:t>Further Reading</w:t>
            </w:r>
          </w:p>
          <w:p w:rsidR="009D4FFB" w:rsidRPr="009D4FFB" w:rsidRDefault="009D4FFB" w:rsidP="009D4FFB">
            <w:pPr>
              <w:ind w:right="141"/>
              <w:rPr>
                <w:color w:val="1F4E79" w:themeColor="accent1" w:themeShade="80"/>
              </w:rPr>
            </w:pPr>
          </w:p>
          <w:p w:rsidR="00A80C7D" w:rsidRPr="00EA4D0E" w:rsidRDefault="00A9751A" w:rsidP="00EA4D0E">
            <w:pPr>
              <w:ind w:right="141"/>
              <w:rPr>
                <w:rFonts w:ascii="Verdana" w:hAnsi="Verdana"/>
                <w:color w:val="1F4E79" w:themeColor="accent1" w:themeShade="80"/>
                <w:sz w:val="20"/>
                <w:szCs w:val="20"/>
                <w:u w:val="single"/>
              </w:rPr>
            </w:pPr>
            <w:hyperlink r:id="rId16" w:history="1">
              <w:r w:rsidR="00A80C7D" w:rsidRPr="004C0901">
                <w:rPr>
                  <w:rStyle w:val="Hyperlink"/>
                  <w:rFonts w:ascii="Verdana" w:eastAsia="Verdana" w:hAnsi="Verdana" w:cs="Verdana"/>
                  <w:color w:val="023160" w:themeColor="hyperlink" w:themeShade="80"/>
                  <w:sz w:val="20"/>
                  <w:szCs w:val="20"/>
                </w:rPr>
                <w:t>A</w:t>
              </w:r>
              <w:r w:rsidR="00D85D0A" w:rsidRPr="004C0901">
                <w:rPr>
                  <w:rStyle w:val="Hyperlink"/>
                  <w:rFonts w:ascii="Verdana" w:eastAsia="Verdana" w:hAnsi="Verdana" w:cs="Verdana"/>
                  <w:color w:val="023160" w:themeColor="hyperlink" w:themeShade="80"/>
                  <w:sz w:val="20"/>
                  <w:szCs w:val="20"/>
                </w:rPr>
                <w:t>nnual Implementation Report 2019</w:t>
              </w:r>
            </w:hyperlink>
          </w:p>
          <w:p w:rsidR="00A80C7D" w:rsidRDefault="00A80C7D" w:rsidP="00EA4D0E">
            <w:pPr>
              <w:ind w:right="141"/>
              <w:rPr>
                <w:rFonts w:ascii="Verdana" w:eastAsia="Verdana" w:hAnsi="Verdana" w:cs="Verdana"/>
                <w:sz w:val="20"/>
                <w:szCs w:val="20"/>
              </w:rPr>
            </w:pPr>
            <w:r w:rsidRPr="00A80C7D">
              <w:rPr>
                <w:rFonts w:ascii="Verdana" w:eastAsia="Verdana" w:hAnsi="Verdana" w:cs="Verdana"/>
                <w:sz w:val="20"/>
                <w:szCs w:val="20"/>
              </w:rPr>
              <w:t>Read the full version of the Annual</w:t>
            </w:r>
            <w:r w:rsidR="009D4FFB">
              <w:rPr>
                <w:rFonts w:ascii="Verdana" w:eastAsia="Verdana" w:hAnsi="Verdana" w:cs="Verdana"/>
                <w:sz w:val="20"/>
                <w:szCs w:val="20"/>
              </w:rPr>
              <w:t xml:space="preserve"> Implementation Report for 2019</w:t>
            </w:r>
          </w:p>
          <w:p w:rsidR="009D4FFB" w:rsidRPr="00A80C7D" w:rsidRDefault="009D4FFB" w:rsidP="00EA4D0E">
            <w:pPr>
              <w:ind w:right="141"/>
              <w:rPr>
                <w:rFonts w:ascii="Verdana" w:hAnsi="Verdana"/>
                <w:sz w:val="20"/>
                <w:szCs w:val="20"/>
              </w:rPr>
            </w:pPr>
          </w:p>
          <w:p w:rsidR="00A80C7D" w:rsidRPr="00EA4D0E" w:rsidRDefault="00A9751A" w:rsidP="00EA4D0E">
            <w:pPr>
              <w:ind w:right="141"/>
              <w:rPr>
                <w:rFonts w:ascii="Verdana" w:hAnsi="Verdana"/>
                <w:color w:val="1F4E79" w:themeColor="accent1" w:themeShade="80"/>
                <w:sz w:val="20"/>
                <w:szCs w:val="20"/>
                <w:u w:val="single"/>
              </w:rPr>
            </w:pPr>
            <w:hyperlink r:id="rId17">
              <w:r w:rsidR="00A80C7D" w:rsidRPr="00EA4D0E">
                <w:rPr>
                  <w:rFonts w:ascii="Verdana" w:eastAsia="Verdana" w:hAnsi="Verdana" w:cs="Verdana"/>
                  <w:color w:val="1F4E79" w:themeColor="accent1" w:themeShade="80"/>
                  <w:sz w:val="20"/>
                  <w:szCs w:val="20"/>
                  <w:u w:val="single"/>
                </w:rPr>
                <w:t>The Northern Ireland ERDF IGJ Programme Citizens Summary 2014</w:t>
              </w:r>
            </w:hyperlink>
            <w:hyperlink r:id="rId18">
              <w:r w:rsidR="00A80C7D" w:rsidRPr="00EA4D0E">
                <w:rPr>
                  <w:rFonts w:ascii="Verdana" w:eastAsia="Verdana" w:hAnsi="Verdana" w:cs="Verdana"/>
                  <w:color w:val="1F4E79" w:themeColor="accent1" w:themeShade="80"/>
                  <w:sz w:val="20"/>
                  <w:szCs w:val="20"/>
                  <w:u w:val="single"/>
                </w:rPr>
                <w:t>-</w:t>
              </w:r>
            </w:hyperlink>
            <w:hyperlink r:id="rId19">
              <w:r w:rsidR="00A80C7D" w:rsidRPr="00EA4D0E">
                <w:rPr>
                  <w:rFonts w:ascii="Verdana" w:eastAsia="Verdana" w:hAnsi="Verdana" w:cs="Verdana"/>
                  <w:color w:val="1F4E79" w:themeColor="accent1" w:themeShade="80"/>
                  <w:sz w:val="20"/>
                  <w:szCs w:val="20"/>
                  <w:u w:val="single"/>
                </w:rPr>
                <w:t>2020</w:t>
              </w:r>
            </w:hyperlink>
            <w:hyperlink r:id="rId20">
              <w:r w:rsidR="00A80C7D" w:rsidRPr="00EA4D0E">
                <w:rPr>
                  <w:rFonts w:ascii="Verdana" w:eastAsia="Verdana" w:hAnsi="Verdana" w:cs="Verdana"/>
                  <w:color w:val="1F4E79" w:themeColor="accent1" w:themeShade="80"/>
                  <w:sz w:val="20"/>
                  <w:szCs w:val="20"/>
                  <w:u w:val="single"/>
                </w:rPr>
                <w:t xml:space="preserve"> </w:t>
              </w:r>
            </w:hyperlink>
            <w:r w:rsidR="00A80C7D" w:rsidRPr="00EA4D0E">
              <w:rPr>
                <w:rFonts w:ascii="Verdana" w:eastAsia="Verdana" w:hAnsi="Verdana" w:cs="Verdana"/>
                <w:color w:val="1F4E79" w:themeColor="accent1" w:themeShade="80"/>
                <w:sz w:val="20"/>
                <w:szCs w:val="20"/>
                <w:u w:val="single"/>
              </w:rPr>
              <w:t xml:space="preserve"> </w:t>
            </w:r>
          </w:p>
          <w:p w:rsidR="00A80C7D" w:rsidRPr="00071958" w:rsidRDefault="00A80C7D" w:rsidP="00EA4D0E">
            <w:pPr>
              <w:spacing w:line="276" w:lineRule="auto"/>
              <w:ind w:right="141"/>
              <w:jc w:val="both"/>
              <w:rPr>
                <w:rFonts w:ascii="Verdana" w:hAnsi="Verdana"/>
                <w:sz w:val="20"/>
                <w:szCs w:val="20"/>
              </w:rPr>
            </w:pPr>
            <w:r w:rsidRPr="00A80C7D">
              <w:rPr>
                <w:rFonts w:ascii="Verdana" w:eastAsia="Verdana" w:hAnsi="Verdana" w:cs="Verdana"/>
                <w:sz w:val="20"/>
                <w:szCs w:val="20"/>
              </w:rPr>
              <w:t>Read a summary of the Programme and its role within Northern Ireland</w:t>
            </w:r>
          </w:p>
        </w:tc>
      </w:tr>
    </w:tbl>
    <w:p w:rsidR="0042555C" w:rsidRDefault="00E62F65">
      <w:pPr>
        <w:spacing w:after="0"/>
        <w:jc w:val="both"/>
      </w:pPr>
      <w:r>
        <w:rPr>
          <w:rFonts w:ascii="Times New Roman" w:eastAsia="Times New Roman" w:hAnsi="Times New Roman" w:cs="Times New Roman"/>
          <w:sz w:val="24"/>
        </w:rPr>
        <w:t xml:space="preserve"> </w:t>
      </w:r>
    </w:p>
    <w:sectPr w:rsidR="0042555C" w:rsidSect="00A31E95">
      <w:pgSz w:w="11906" w:h="16838"/>
      <w:pgMar w:top="709" w:right="1440" w:bottom="42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51A" w:rsidRDefault="00A9751A" w:rsidP="00A9751A">
      <w:pPr>
        <w:spacing w:after="0" w:line="240" w:lineRule="auto"/>
      </w:pPr>
      <w:r>
        <w:separator/>
      </w:r>
    </w:p>
  </w:endnote>
  <w:endnote w:type="continuationSeparator" w:id="0">
    <w:p w:rsidR="00A9751A" w:rsidRDefault="00A9751A" w:rsidP="00A9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51A" w:rsidRDefault="00A9751A" w:rsidP="00A9751A">
      <w:pPr>
        <w:spacing w:after="0" w:line="240" w:lineRule="auto"/>
      </w:pPr>
      <w:r>
        <w:separator/>
      </w:r>
    </w:p>
  </w:footnote>
  <w:footnote w:type="continuationSeparator" w:id="0">
    <w:p w:rsidR="00A9751A" w:rsidRDefault="00A9751A" w:rsidP="00A97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2E0D"/>
    <w:multiLevelType w:val="hybridMultilevel"/>
    <w:tmpl w:val="83CA5D6E"/>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 w15:restartNumberingAfterBreak="0">
    <w:nsid w:val="2236265F"/>
    <w:multiLevelType w:val="hybridMultilevel"/>
    <w:tmpl w:val="98883E8A"/>
    <w:lvl w:ilvl="0" w:tplc="A0346834">
      <w:start w:val="1"/>
      <w:numFmt w:val="bullet"/>
      <w:lvlText w:val="•"/>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6CC3FE">
      <w:start w:val="1"/>
      <w:numFmt w:val="bullet"/>
      <w:lvlText w:val="o"/>
      <w:lvlJc w:val="left"/>
      <w:pPr>
        <w:ind w:left="2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E6F5FE">
      <w:start w:val="1"/>
      <w:numFmt w:val="bullet"/>
      <w:lvlText w:val="▪"/>
      <w:lvlJc w:val="left"/>
      <w:pPr>
        <w:ind w:left="3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0E636A">
      <w:start w:val="1"/>
      <w:numFmt w:val="bullet"/>
      <w:lvlText w:val="•"/>
      <w:lvlJc w:val="left"/>
      <w:pPr>
        <w:ind w:left="3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E48F74">
      <w:start w:val="1"/>
      <w:numFmt w:val="bullet"/>
      <w:lvlText w:val="o"/>
      <w:lvlJc w:val="left"/>
      <w:pPr>
        <w:ind w:left="4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929D00">
      <w:start w:val="1"/>
      <w:numFmt w:val="bullet"/>
      <w:lvlText w:val="▪"/>
      <w:lvlJc w:val="left"/>
      <w:pPr>
        <w:ind w:left="53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3C8EC2">
      <w:start w:val="1"/>
      <w:numFmt w:val="bullet"/>
      <w:lvlText w:val="•"/>
      <w:lvlJc w:val="left"/>
      <w:pPr>
        <w:ind w:left="6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8A3A9E">
      <w:start w:val="1"/>
      <w:numFmt w:val="bullet"/>
      <w:lvlText w:val="o"/>
      <w:lvlJc w:val="left"/>
      <w:pPr>
        <w:ind w:left="6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767E10">
      <w:start w:val="1"/>
      <w:numFmt w:val="bullet"/>
      <w:lvlText w:val="▪"/>
      <w:lvlJc w:val="left"/>
      <w:pPr>
        <w:ind w:left="7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5873DA"/>
    <w:multiLevelType w:val="hybridMultilevel"/>
    <w:tmpl w:val="A0A2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B1843"/>
    <w:multiLevelType w:val="hybridMultilevel"/>
    <w:tmpl w:val="09DC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102AC"/>
    <w:multiLevelType w:val="hybridMultilevel"/>
    <w:tmpl w:val="6F4874B2"/>
    <w:lvl w:ilvl="0" w:tplc="32D43E2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BCA67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4AD2B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70ED3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C007E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167A8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5C6D1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E2059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00FDA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6D02722"/>
    <w:multiLevelType w:val="hybridMultilevel"/>
    <w:tmpl w:val="1642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E34FF"/>
    <w:multiLevelType w:val="hybridMultilevel"/>
    <w:tmpl w:val="D5CEDD7A"/>
    <w:lvl w:ilvl="0" w:tplc="47E0D442">
      <w:start w:val="1"/>
      <w:numFmt w:val="bullet"/>
      <w:lvlText w:val="•"/>
      <w:lvlJc w:val="left"/>
      <w:pPr>
        <w:ind w:left="216"/>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9664EBF0">
      <w:start w:val="1"/>
      <w:numFmt w:val="bullet"/>
      <w:lvlText w:val="o"/>
      <w:lvlJc w:val="left"/>
      <w:pPr>
        <w:ind w:left="1188"/>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F1A4EA78">
      <w:start w:val="1"/>
      <w:numFmt w:val="bullet"/>
      <w:lvlText w:val="▪"/>
      <w:lvlJc w:val="left"/>
      <w:pPr>
        <w:ind w:left="1908"/>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864802CA">
      <w:start w:val="1"/>
      <w:numFmt w:val="bullet"/>
      <w:lvlText w:val="•"/>
      <w:lvlJc w:val="left"/>
      <w:pPr>
        <w:ind w:left="2628"/>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6C56AA76">
      <w:start w:val="1"/>
      <w:numFmt w:val="bullet"/>
      <w:lvlText w:val="o"/>
      <w:lvlJc w:val="left"/>
      <w:pPr>
        <w:ind w:left="3348"/>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FC1C7C50">
      <w:start w:val="1"/>
      <w:numFmt w:val="bullet"/>
      <w:lvlText w:val="▪"/>
      <w:lvlJc w:val="left"/>
      <w:pPr>
        <w:ind w:left="4068"/>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84A2CA9A">
      <w:start w:val="1"/>
      <w:numFmt w:val="bullet"/>
      <w:lvlText w:val="•"/>
      <w:lvlJc w:val="left"/>
      <w:pPr>
        <w:ind w:left="4788"/>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FC447062">
      <w:start w:val="1"/>
      <w:numFmt w:val="bullet"/>
      <w:lvlText w:val="o"/>
      <w:lvlJc w:val="left"/>
      <w:pPr>
        <w:ind w:left="5508"/>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E3CA6BE2">
      <w:start w:val="1"/>
      <w:numFmt w:val="bullet"/>
      <w:lvlText w:val="▪"/>
      <w:lvlJc w:val="left"/>
      <w:pPr>
        <w:ind w:left="6228"/>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5C"/>
    <w:rsid w:val="00043B84"/>
    <w:rsid w:val="00071958"/>
    <w:rsid w:val="00136291"/>
    <w:rsid w:val="0042555C"/>
    <w:rsid w:val="004458A1"/>
    <w:rsid w:val="004A07AA"/>
    <w:rsid w:val="004C0901"/>
    <w:rsid w:val="0052652A"/>
    <w:rsid w:val="005306F9"/>
    <w:rsid w:val="006417A4"/>
    <w:rsid w:val="00704A5B"/>
    <w:rsid w:val="007A21A9"/>
    <w:rsid w:val="0080275F"/>
    <w:rsid w:val="009262D0"/>
    <w:rsid w:val="00941828"/>
    <w:rsid w:val="009D4FFB"/>
    <w:rsid w:val="00A31E95"/>
    <w:rsid w:val="00A80C7D"/>
    <w:rsid w:val="00A9751A"/>
    <w:rsid w:val="00AD75CF"/>
    <w:rsid w:val="00BB36C5"/>
    <w:rsid w:val="00BE52CE"/>
    <w:rsid w:val="00C9084F"/>
    <w:rsid w:val="00D85D0A"/>
    <w:rsid w:val="00E62F65"/>
    <w:rsid w:val="00E87112"/>
    <w:rsid w:val="00EA4D0E"/>
    <w:rsid w:val="00FB1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9D8A1-EB1F-499C-B2A0-1E64516E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87112"/>
    <w:rPr>
      <w:color w:val="0563C1" w:themeColor="hyperlink"/>
      <w:u w:val="single"/>
    </w:rPr>
  </w:style>
  <w:style w:type="paragraph" w:styleId="ListParagraph">
    <w:name w:val="List Paragraph"/>
    <w:basedOn w:val="Normal"/>
    <w:uiPriority w:val="34"/>
    <w:qFormat/>
    <w:rsid w:val="006417A4"/>
    <w:pPr>
      <w:ind w:left="720"/>
      <w:contextualSpacing/>
    </w:pPr>
  </w:style>
  <w:style w:type="paragraph" w:styleId="NoSpacing">
    <w:name w:val="No Spacing"/>
    <w:uiPriority w:val="1"/>
    <w:qFormat/>
    <w:rsid w:val="00A9751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obsandgrowthni.gov.uk/" TargetMode="External"/><Relationship Id="rId13" Type="http://schemas.openxmlformats.org/officeDocument/2006/relationships/hyperlink" Target="https://www.investni.com/media-centre/news/uae-and-qatar-export-success-leads-new-jobs-derry-based-joule" TargetMode="External"/><Relationship Id="rId18" Type="http://schemas.openxmlformats.org/officeDocument/2006/relationships/hyperlink" Target="http://www.jobsandgrowthni.gov.uk/downloads/Master_Citizens_Document_-_Draft_5.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investni.com/media-centre/news/raylo-set-innovate-smartphone-industry-northern-ireland-centre" TargetMode="External"/><Relationship Id="rId17" Type="http://schemas.openxmlformats.org/officeDocument/2006/relationships/hyperlink" Target="http://www.jobsandgrowthni.gov.uk/downloads/Master_Citizens_Document_-_Draft_5.pdf" TargetMode="External"/><Relationship Id="rId2" Type="http://schemas.openxmlformats.org/officeDocument/2006/relationships/styles" Target="styles.xml"/><Relationship Id="rId16" Type="http://schemas.openxmlformats.org/officeDocument/2006/relationships/hyperlink" Target="http://www.jobsandgrowthni.gov.uk/downloads/Implementation_report_2014UK16RFOP003_2018_0_en.pdf" TargetMode="External"/><Relationship Id="rId20" Type="http://schemas.openxmlformats.org/officeDocument/2006/relationships/hyperlink" Target="http://www.jobsandgrowthni.gov.uk/downloads/Master_Citizens_Document_-_Draft_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gjni@economyni.gov.uk" TargetMode="External"/><Relationship Id="rId5" Type="http://schemas.openxmlformats.org/officeDocument/2006/relationships/footnotes" Target="footnotes.xml"/><Relationship Id="rId15" Type="http://schemas.openxmlformats.org/officeDocument/2006/relationships/hyperlink" Target="http://www.jobsandgrowthni.gov.uk/case-studies/" TargetMode="External"/><Relationship Id="rId10" Type="http://schemas.openxmlformats.org/officeDocument/2006/relationships/hyperlink" Target="http://www.investni.com/" TargetMode="External"/><Relationship Id="rId19" Type="http://schemas.openxmlformats.org/officeDocument/2006/relationships/hyperlink" Target="http://www.jobsandgrowthni.gov.uk/downloads/Master_Citizens_Document_-_Draft_5.pdf" TargetMode="External"/><Relationship Id="rId4" Type="http://schemas.openxmlformats.org/officeDocument/2006/relationships/webSettings" Target="webSettings.xml"/><Relationship Id="rId9" Type="http://schemas.openxmlformats.org/officeDocument/2006/relationships/hyperlink" Target="http://www.investni.com/" TargetMode="External"/><Relationship Id="rId14" Type="http://schemas.openxmlformats.org/officeDocument/2006/relationships/hyperlink" Target="https://www.youtube.com/watch?v=lm27tPjD5b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 Mooney</dc:creator>
  <cp:keywords/>
  <cp:lastModifiedBy>O'Neill, Brendan (DfE)</cp:lastModifiedBy>
  <cp:revision>13</cp:revision>
  <dcterms:created xsi:type="dcterms:W3CDTF">2020-10-16T11:26:00Z</dcterms:created>
  <dcterms:modified xsi:type="dcterms:W3CDTF">2020-10-20T12:33:00Z</dcterms:modified>
</cp:coreProperties>
</file>