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4" w:rsidRPr="00561427" w:rsidRDefault="00174264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6142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2.5pt">
            <v:imagedata r:id="rId7" o:title=""/>
          </v:shape>
        </w:pict>
      </w:r>
    </w:p>
    <w:p w:rsidR="00174264" w:rsidRPr="00561427" w:rsidRDefault="00174264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D2429C" w:rsidRPr="00561427" w:rsidRDefault="00FB06E3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61427">
        <w:rPr>
          <w:rFonts w:ascii="Arial" w:hAnsi="Arial" w:cs="Arial"/>
          <w:b/>
          <w:bCs/>
        </w:rPr>
        <w:t>THE EUROPEAN SUSTAINABLE COMPETITIVENESS PROGRAMME</w:t>
      </w:r>
      <w:r w:rsidR="00D2429C" w:rsidRPr="00561427">
        <w:rPr>
          <w:rFonts w:ascii="Arial" w:hAnsi="Arial" w:cs="Arial"/>
          <w:b/>
          <w:bCs/>
        </w:rPr>
        <w:t xml:space="preserve"> </w:t>
      </w:r>
    </w:p>
    <w:p w:rsidR="00FB06E3" w:rsidRPr="00561427" w:rsidRDefault="00FB06E3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61427">
        <w:rPr>
          <w:rFonts w:ascii="Arial" w:hAnsi="Arial" w:cs="Arial"/>
          <w:b/>
          <w:bCs/>
        </w:rPr>
        <w:t>FOR NORTHERN IRELAND 2007-2013</w:t>
      </w:r>
    </w:p>
    <w:p w:rsidR="00D2429C" w:rsidRPr="00561427" w:rsidRDefault="00D2429C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B06E3" w:rsidRPr="00561427" w:rsidRDefault="00FB06E3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61427">
        <w:rPr>
          <w:rFonts w:ascii="Arial" w:hAnsi="Arial" w:cs="Arial"/>
          <w:b/>
          <w:bCs/>
        </w:rPr>
        <w:t>MANAGING AUTHORITY GUIDANCE</w:t>
      </w:r>
    </w:p>
    <w:p w:rsidR="00D2429C" w:rsidRPr="00561427" w:rsidRDefault="00D2429C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B06E3" w:rsidRPr="00561427" w:rsidRDefault="00FB06E3" w:rsidP="005614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61427">
        <w:rPr>
          <w:rFonts w:ascii="Arial" w:hAnsi="Arial" w:cs="Arial"/>
          <w:b/>
          <w:bCs/>
        </w:rPr>
        <w:t xml:space="preserve">ELIGIBILITY OF TRAVEL AND </w:t>
      </w:r>
      <w:r w:rsidR="00144282">
        <w:rPr>
          <w:rFonts w:ascii="Arial" w:hAnsi="Arial" w:cs="Arial"/>
          <w:b/>
          <w:bCs/>
        </w:rPr>
        <w:t>EXPENSES</w:t>
      </w:r>
      <w:r w:rsidR="00144282" w:rsidRPr="00561427">
        <w:rPr>
          <w:rFonts w:ascii="Arial" w:hAnsi="Arial" w:cs="Arial"/>
          <w:b/>
          <w:bCs/>
        </w:rPr>
        <w:t xml:space="preserve"> </w:t>
      </w:r>
      <w:r w:rsidRPr="00561427">
        <w:rPr>
          <w:rFonts w:ascii="Arial" w:hAnsi="Arial" w:cs="Arial"/>
          <w:b/>
          <w:bCs/>
        </w:rPr>
        <w:t>EXPENDITURE</w:t>
      </w:r>
    </w:p>
    <w:p w:rsidR="005E4762" w:rsidRPr="00561427" w:rsidRDefault="005E4762" w:rsidP="005614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D53BF" w:rsidRPr="00144282" w:rsidRDefault="00144282" w:rsidP="0037601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B06E3" w:rsidRPr="00561427">
        <w:rPr>
          <w:rFonts w:ascii="Arial" w:hAnsi="Arial" w:cs="Arial"/>
        </w:rPr>
        <w:t>This guidance supplements DFP Guidance Note 5 (</w:t>
      </w:r>
      <w:smartTag w:uri="urn:schemas-microsoft-com:office:smarttags" w:element="country-region">
        <w:smartTag w:uri="urn:schemas-microsoft-com:office:smarttags" w:element="place">
          <w:r w:rsidR="00FB06E3" w:rsidRPr="00561427">
            <w:rPr>
              <w:rFonts w:ascii="Arial" w:hAnsi="Arial" w:cs="Arial"/>
            </w:rPr>
            <w:t>Northern Ireland</w:t>
          </w:r>
        </w:smartTag>
      </w:smartTag>
      <w:r w:rsidR="00FB06E3" w:rsidRPr="00561427">
        <w:rPr>
          <w:rFonts w:ascii="Arial" w:hAnsi="Arial" w:cs="Arial"/>
        </w:rPr>
        <w:t xml:space="preserve"> Rules on the Eligibility of Expenditure</w:t>
      </w:r>
      <w:r>
        <w:rPr>
          <w:rFonts w:ascii="Arial" w:hAnsi="Arial" w:cs="Arial"/>
        </w:rPr>
        <w:t xml:space="preserve">, available </w:t>
      </w:r>
      <w:hyperlink r:id="rId8" w:history="1">
        <w:r>
          <w:rPr>
            <w:rStyle w:val="Hyperlink"/>
            <w:rFonts w:ascii="Arial" w:hAnsi="Arial" w:cs="Arial"/>
          </w:rPr>
          <w:t>h</w:t>
        </w:r>
        <w:r>
          <w:rPr>
            <w:rStyle w:val="Hyperlink"/>
            <w:rFonts w:ascii="Arial" w:hAnsi="Arial" w:cs="Arial"/>
          </w:rPr>
          <w:t>e</w:t>
        </w:r>
        <w:r>
          <w:rPr>
            <w:rStyle w:val="Hyperlink"/>
            <w:rFonts w:ascii="Arial" w:hAnsi="Arial" w:cs="Arial"/>
          </w:rPr>
          <w:t>r</w:t>
        </w:r>
        <w:r>
          <w:rPr>
            <w:rStyle w:val="Hyperlink"/>
            <w:rFonts w:ascii="Arial" w:hAnsi="Arial" w:cs="Arial"/>
          </w:rPr>
          <w:t>e)</w:t>
        </w:r>
      </w:hyperlink>
      <w:r w:rsidR="00376016">
        <w:rPr>
          <w:rFonts w:ascii="Arial" w:hAnsi="Arial" w:cs="Arial"/>
        </w:rPr>
        <w:t xml:space="preserve"> </w:t>
      </w:r>
      <w:r w:rsidR="00FB06E3" w:rsidRPr="00144282">
        <w:rPr>
          <w:rFonts w:ascii="Arial" w:hAnsi="Arial" w:cs="Arial"/>
        </w:rPr>
        <w:t xml:space="preserve">in relation to eligibility of travel and </w:t>
      </w:r>
      <w:r w:rsidR="00376016">
        <w:rPr>
          <w:rFonts w:ascii="Arial" w:hAnsi="Arial" w:cs="Arial"/>
        </w:rPr>
        <w:t>expense</w:t>
      </w:r>
      <w:r w:rsidR="00FB06E3" w:rsidRPr="00144282">
        <w:rPr>
          <w:rFonts w:ascii="Arial" w:hAnsi="Arial" w:cs="Arial"/>
        </w:rPr>
        <w:t xml:space="preserve"> expenditure within the Sustainable Competitiveness Programme.</w:t>
      </w:r>
    </w:p>
    <w:p w:rsidR="00CD53BF" w:rsidRPr="00144282" w:rsidRDefault="00CD53B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D53BF" w:rsidRPr="00144282" w:rsidRDefault="00144282" w:rsidP="0037601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FB06E3" w:rsidRPr="00144282">
        <w:rPr>
          <w:rFonts w:ascii="Arial" w:hAnsi="Arial" w:cs="Arial"/>
        </w:rPr>
        <w:t>The common principl</w:t>
      </w:r>
      <w:r w:rsidR="00151EB2" w:rsidRPr="00144282">
        <w:rPr>
          <w:rFonts w:ascii="Arial" w:hAnsi="Arial" w:cs="Arial"/>
        </w:rPr>
        <w:t>e</w:t>
      </w:r>
      <w:r w:rsidR="00FB06E3" w:rsidRPr="00144282">
        <w:rPr>
          <w:rFonts w:ascii="Arial" w:hAnsi="Arial" w:cs="Arial"/>
        </w:rPr>
        <w:t xml:space="preserve"> for the eligibility of travel and </w:t>
      </w:r>
      <w:r w:rsidR="00376016">
        <w:rPr>
          <w:rFonts w:ascii="Arial" w:hAnsi="Arial" w:cs="Arial"/>
        </w:rPr>
        <w:t>expense</w:t>
      </w:r>
      <w:r w:rsidR="00FB06E3" w:rsidRPr="00144282">
        <w:rPr>
          <w:rFonts w:ascii="Arial" w:hAnsi="Arial" w:cs="Arial"/>
        </w:rPr>
        <w:t xml:space="preserve"> costs is that it covers extra expenses, necessarily incurred in carrying out project or programme business.</w:t>
      </w:r>
    </w:p>
    <w:p w:rsidR="00CD53BF" w:rsidRPr="00144282" w:rsidRDefault="00CD53B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D53BF" w:rsidRPr="00561427" w:rsidRDefault="00FB06E3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lang/>
        </w:rPr>
      </w:pPr>
      <w:r w:rsidRPr="00144282">
        <w:rPr>
          <w:rFonts w:ascii="Arial" w:hAnsi="Arial" w:cs="Arial"/>
        </w:rPr>
        <w:t>Organisations should ensure that all staff are fully aware of the need to</w:t>
      </w:r>
      <w:r w:rsidRPr="00561427">
        <w:rPr>
          <w:rFonts w:ascii="Arial" w:hAnsi="Arial" w:cs="Arial"/>
        </w:rPr>
        <w:t xml:space="preserve"> exercise economy and efficiency in travel and </w:t>
      </w:r>
      <w:r w:rsidR="00376016">
        <w:rPr>
          <w:rFonts w:ascii="Arial" w:hAnsi="Arial" w:cs="Arial"/>
        </w:rPr>
        <w:t>expense</w:t>
      </w:r>
      <w:r w:rsidRPr="00561427">
        <w:rPr>
          <w:rFonts w:ascii="Arial" w:hAnsi="Arial" w:cs="Arial"/>
        </w:rPr>
        <w:t xml:space="preserve"> costs. Authorising officers must satisfy themselves that that all travel and </w:t>
      </w:r>
      <w:r w:rsidR="00376016">
        <w:rPr>
          <w:rFonts w:ascii="Arial" w:hAnsi="Arial" w:cs="Arial"/>
        </w:rPr>
        <w:t>expense</w:t>
      </w:r>
      <w:r w:rsidRPr="00561427">
        <w:rPr>
          <w:rFonts w:ascii="Arial" w:hAnsi="Arial" w:cs="Arial"/>
        </w:rPr>
        <w:t xml:space="preserve"> costs are essential to the effective progress of the funded activity.</w:t>
      </w:r>
    </w:p>
    <w:p w:rsidR="00CD53BF" w:rsidRPr="00561427" w:rsidRDefault="00CD53B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CD53BF" w:rsidRPr="00561427" w:rsidRDefault="00CD53BF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</w:rPr>
      </w:pPr>
      <w:r w:rsidRPr="00561427">
        <w:rPr>
          <w:rFonts w:ascii="Arial" w:hAnsi="Arial" w:cs="Arial"/>
        </w:rPr>
        <w:t xml:space="preserve">When trips are deemed necessary particular attention should be given to the number of project representatives involved as well as the frequency and duration of visits. </w:t>
      </w:r>
      <w:r w:rsidR="00D2256D">
        <w:rPr>
          <w:rFonts w:ascii="Arial" w:hAnsi="Arial" w:cs="Arial"/>
        </w:rPr>
        <w:t xml:space="preserve">Consideration should be given to other means of communicating such as video-conferencing. </w:t>
      </w:r>
    </w:p>
    <w:p w:rsidR="00CD53BF" w:rsidRPr="00561427" w:rsidRDefault="00CD53B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D53BF" w:rsidRPr="00561427" w:rsidRDefault="00CD53BF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1427">
        <w:rPr>
          <w:rFonts w:ascii="Arial" w:hAnsi="Arial" w:cs="Arial"/>
        </w:rPr>
        <w:lastRenderedPageBreak/>
        <w:t xml:space="preserve">Venues for meetings should be selected carefully to minimise travel. Where there is a need to be at a location for two consecutive days a careful balance needs to be struck between the overall cost of two return journeys and the overnight </w:t>
      </w:r>
      <w:r w:rsidR="00376016">
        <w:rPr>
          <w:rFonts w:ascii="Arial" w:hAnsi="Arial" w:cs="Arial"/>
        </w:rPr>
        <w:t>expenses</w:t>
      </w:r>
      <w:r w:rsidRPr="00561427">
        <w:rPr>
          <w:rFonts w:ascii="Arial" w:hAnsi="Arial" w:cs="Arial"/>
        </w:rPr>
        <w:t xml:space="preserve"> payable.</w:t>
      </w:r>
    </w:p>
    <w:p w:rsidR="00CD53BF" w:rsidRPr="00561427" w:rsidRDefault="00CD53B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300A0" w:rsidRDefault="00CD53BF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1427">
        <w:rPr>
          <w:rFonts w:ascii="Arial" w:hAnsi="Arial" w:cs="Arial"/>
        </w:rPr>
        <w:t xml:space="preserve">The mode of transport should be the most economical taking account of time, costs and </w:t>
      </w:r>
      <w:r w:rsidR="00376016">
        <w:rPr>
          <w:rFonts w:ascii="Arial" w:hAnsi="Arial" w:cs="Arial"/>
        </w:rPr>
        <w:t>expense</w:t>
      </w:r>
      <w:r w:rsidRPr="00561427">
        <w:rPr>
          <w:rFonts w:ascii="Arial" w:hAnsi="Arial" w:cs="Arial"/>
        </w:rPr>
        <w:t xml:space="preserve">. </w:t>
      </w:r>
    </w:p>
    <w:p w:rsidR="007300A0" w:rsidRDefault="007300A0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D53BF" w:rsidRDefault="00D2256D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Taxi fares may only be reimbursed where there is a justifiable reason which could include:</w:t>
      </w:r>
    </w:p>
    <w:p w:rsidR="00D2256D" w:rsidRDefault="00D2256D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256D" w:rsidRDefault="00D2256D" w:rsidP="00376016">
      <w:pPr>
        <w:numPr>
          <w:ilvl w:val="5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Journeys for which there is no other suitable method of public transport;</w:t>
      </w:r>
    </w:p>
    <w:p w:rsidR="00D2256D" w:rsidRDefault="00D2256D" w:rsidP="00376016">
      <w:pPr>
        <w:numPr>
          <w:ilvl w:val="5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When heavy luggage has to be transported; or</w:t>
      </w:r>
    </w:p>
    <w:p w:rsidR="00D2256D" w:rsidRPr="00561427" w:rsidRDefault="00D2256D" w:rsidP="00376016">
      <w:pPr>
        <w:numPr>
          <w:ilvl w:val="5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 saving in staff time is important and outweighs the cost.</w:t>
      </w:r>
    </w:p>
    <w:p w:rsidR="007300A0" w:rsidRDefault="007300A0" w:rsidP="003760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7300A0" w:rsidRDefault="007300A0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of hiring a car may be considered eligible where the hire cost can be demonstrated to be value for money compared to other forms of available transport, (or </w:t>
      </w:r>
      <w:r w:rsidR="003040A5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it is the only available or viable option). </w:t>
      </w:r>
      <w:r w:rsidR="002522E3">
        <w:rPr>
          <w:rFonts w:ascii="Arial" w:hAnsi="Arial" w:cs="Arial"/>
        </w:rPr>
        <w:t xml:space="preserve">Hire car costs may only be reimbursed where </w:t>
      </w:r>
      <w:r>
        <w:rPr>
          <w:rFonts w:ascii="Arial" w:hAnsi="Arial" w:cs="Arial"/>
        </w:rPr>
        <w:t xml:space="preserve">the project </w:t>
      </w:r>
      <w:r w:rsidR="002522E3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retain</w:t>
      </w:r>
      <w:r w:rsidR="002522E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evidence supporting the decision to use a hire car which demonstrates the above conditions are satisfied. </w:t>
      </w:r>
    </w:p>
    <w:p w:rsidR="00CD53BF" w:rsidRPr="00561427" w:rsidRDefault="00CD53B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256D" w:rsidRDefault="00CD53BF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1427">
        <w:rPr>
          <w:rFonts w:ascii="Arial" w:hAnsi="Arial" w:cs="Arial"/>
        </w:rPr>
        <w:t>In all instances, only t</w:t>
      </w:r>
      <w:r w:rsidR="008F1D7B" w:rsidRPr="00561427">
        <w:rPr>
          <w:rFonts w:ascii="Arial" w:hAnsi="Arial" w:cs="Arial"/>
        </w:rPr>
        <w:t xml:space="preserve">ravel and </w:t>
      </w:r>
      <w:r w:rsidR="00376016">
        <w:rPr>
          <w:rFonts w:ascii="Arial" w:hAnsi="Arial" w:cs="Arial"/>
        </w:rPr>
        <w:t>expense</w:t>
      </w:r>
      <w:r w:rsidR="008F1D7B" w:rsidRPr="00561427">
        <w:rPr>
          <w:rFonts w:ascii="Arial" w:hAnsi="Arial" w:cs="Arial"/>
        </w:rPr>
        <w:t xml:space="preserve"> </w:t>
      </w:r>
      <w:r w:rsidRPr="00561427">
        <w:rPr>
          <w:rFonts w:ascii="Arial" w:hAnsi="Arial" w:cs="Arial"/>
        </w:rPr>
        <w:t>co</w:t>
      </w:r>
      <w:r w:rsidR="00FB06E3" w:rsidRPr="00561427">
        <w:rPr>
          <w:rFonts w:ascii="Arial" w:hAnsi="Arial" w:cs="Arial"/>
        </w:rPr>
        <w:t>s</w:t>
      </w:r>
      <w:r w:rsidRPr="00561427">
        <w:rPr>
          <w:rFonts w:ascii="Arial" w:hAnsi="Arial" w:cs="Arial"/>
        </w:rPr>
        <w:t>ts</w:t>
      </w:r>
      <w:r w:rsidR="00FB06E3" w:rsidRPr="00561427">
        <w:rPr>
          <w:rFonts w:ascii="Arial" w:hAnsi="Arial" w:cs="Arial"/>
        </w:rPr>
        <w:t xml:space="preserve"> </w:t>
      </w:r>
      <w:r w:rsidRPr="00561427">
        <w:rPr>
          <w:rFonts w:ascii="Arial" w:hAnsi="Arial" w:cs="Arial"/>
        </w:rPr>
        <w:t xml:space="preserve">which are </w:t>
      </w:r>
      <w:r w:rsidR="00FB06E3" w:rsidRPr="00561427">
        <w:rPr>
          <w:rFonts w:ascii="Arial" w:hAnsi="Arial" w:cs="Arial"/>
          <w:i/>
        </w:rPr>
        <w:t>capped</w:t>
      </w:r>
      <w:r w:rsidR="00FB06E3" w:rsidRPr="00561427">
        <w:rPr>
          <w:rFonts w:ascii="Arial" w:hAnsi="Arial" w:cs="Arial"/>
        </w:rPr>
        <w:t xml:space="preserve"> at Northern Ireland Civil Service </w:t>
      </w:r>
      <w:r w:rsidRPr="00561427">
        <w:rPr>
          <w:rFonts w:ascii="Arial" w:hAnsi="Arial" w:cs="Arial"/>
        </w:rPr>
        <w:t xml:space="preserve">(NICS) </w:t>
      </w:r>
      <w:r w:rsidR="00FB06E3" w:rsidRPr="00561427">
        <w:rPr>
          <w:rFonts w:ascii="Arial" w:hAnsi="Arial" w:cs="Arial"/>
        </w:rPr>
        <w:t>rates</w:t>
      </w:r>
      <w:r w:rsidRPr="00561427">
        <w:rPr>
          <w:rFonts w:ascii="Arial" w:hAnsi="Arial" w:cs="Arial"/>
        </w:rPr>
        <w:t xml:space="preserve"> will be considered eligible</w:t>
      </w:r>
      <w:r w:rsidR="006F7B73" w:rsidRPr="00561427">
        <w:rPr>
          <w:rFonts w:ascii="Arial" w:hAnsi="Arial" w:cs="Arial"/>
        </w:rPr>
        <w:t>.</w:t>
      </w:r>
      <w:r w:rsidRPr="00561427">
        <w:rPr>
          <w:rFonts w:ascii="Arial" w:hAnsi="Arial" w:cs="Arial"/>
        </w:rPr>
        <w:t xml:space="preserve"> Organisations can choose to exceed these limits under their own policy but should be aware that only the amount up to the NICS </w:t>
      </w:r>
      <w:r w:rsidR="002F0CCC">
        <w:rPr>
          <w:rFonts w:ascii="Arial" w:hAnsi="Arial" w:cs="Arial"/>
        </w:rPr>
        <w:t xml:space="preserve">ceiling </w:t>
      </w:r>
      <w:r w:rsidRPr="00561427">
        <w:rPr>
          <w:rFonts w:ascii="Arial" w:hAnsi="Arial" w:cs="Arial"/>
        </w:rPr>
        <w:t xml:space="preserve">will be eligible for </w:t>
      </w:r>
      <w:r w:rsidR="008D34F4">
        <w:rPr>
          <w:rFonts w:ascii="Arial" w:hAnsi="Arial" w:cs="Arial"/>
        </w:rPr>
        <w:t>funding under the EU Competitiveness Programme.</w:t>
      </w:r>
      <w:r w:rsidRPr="00561427">
        <w:rPr>
          <w:rFonts w:ascii="Arial" w:hAnsi="Arial" w:cs="Arial"/>
        </w:rPr>
        <w:t xml:space="preserve"> </w:t>
      </w:r>
    </w:p>
    <w:p w:rsidR="00D2256D" w:rsidRDefault="00D2256D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93BB9" w:rsidRDefault="00D2256D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M</w:t>
      </w:r>
      <w:r w:rsidRPr="00561427">
        <w:rPr>
          <w:rFonts w:ascii="Arial" w:hAnsi="Arial" w:cs="Arial"/>
          <w:lang/>
        </w:rPr>
        <w:t xml:space="preserve">eal and accommodation expenditure </w:t>
      </w:r>
      <w:r w:rsidR="002E49A9">
        <w:rPr>
          <w:rFonts w:ascii="Arial" w:hAnsi="Arial" w:cs="Arial"/>
          <w:lang/>
        </w:rPr>
        <w:t xml:space="preserve">associated with travel costs are </w:t>
      </w:r>
      <w:r w:rsidRPr="00561427">
        <w:rPr>
          <w:rFonts w:ascii="Arial" w:hAnsi="Arial" w:cs="Arial"/>
          <w:lang/>
        </w:rPr>
        <w:t xml:space="preserve">eligible for funding under the EU </w:t>
      </w:r>
      <w:r w:rsidRPr="00561427">
        <w:rPr>
          <w:rFonts w:ascii="Arial" w:hAnsi="Arial" w:cs="Arial"/>
        </w:rPr>
        <w:t xml:space="preserve">Competitiveness Programme </w:t>
      </w:r>
      <w:r>
        <w:rPr>
          <w:rFonts w:ascii="Arial" w:hAnsi="Arial" w:cs="Arial"/>
        </w:rPr>
        <w:t xml:space="preserve">against </w:t>
      </w:r>
      <w:r>
        <w:rPr>
          <w:rFonts w:ascii="Arial" w:hAnsi="Arial" w:cs="Arial"/>
          <w:b/>
          <w:i/>
        </w:rPr>
        <w:t>actual</w:t>
      </w:r>
      <w:r>
        <w:rPr>
          <w:rFonts w:ascii="Arial" w:hAnsi="Arial" w:cs="Arial"/>
        </w:rPr>
        <w:t xml:space="preserve"> </w:t>
      </w:r>
      <w:r w:rsidRPr="002F0CCC">
        <w:rPr>
          <w:rFonts w:ascii="Arial" w:hAnsi="Arial" w:cs="Arial"/>
          <w:b/>
          <w:i/>
        </w:rPr>
        <w:t>costs</w:t>
      </w:r>
      <w:r w:rsidRPr="00561427">
        <w:rPr>
          <w:rFonts w:ascii="Arial" w:hAnsi="Arial" w:cs="Arial"/>
        </w:rPr>
        <w:t xml:space="preserve"> </w:t>
      </w:r>
      <w:r w:rsidRPr="00561427">
        <w:rPr>
          <w:rFonts w:ascii="Arial" w:hAnsi="Arial" w:cs="Arial"/>
          <w:b/>
          <w:i/>
        </w:rPr>
        <w:t>supported by invoices</w:t>
      </w:r>
      <w:r w:rsidRPr="002F0CCC">
        <w:rPr>
          <w:rFonts w:ascii="Arial" w:hAnsi="Arial" w:cs="Arial"/>
          <w:b/>
          <w:i/>
        </w:rPr>
        <w:t>/receipts</w:t>
      </w:r>
      <w:r w:rsidR="002E49A9">
        <w:rPr>
          <w:rFonts w:ascii="Arial" w:hAnsi="Arial" w:cs="Arial"/>
          <w:b/>
          <w:i/>
        </w:rPr>
        <w:t xml:space="preserve"> </w:t>
      </w:r>
      <w:r w:rsidR="002E49A9">
        <w:rPr>
          <w:rFonts w:ascii="Arial" w:hAnsi="Arial" w:cs="Arial"/>
          <w:b/>
        </w:rPr>
        <w:t xml:space="preserve">and capped at the </w:t>
      </w:r>
      <w:r w:rsidR="00FB63EC">
        <w:rPr>
          <w:rFonts w:ascii="Arial" w:hAnsi="Arial" w:cs="Arial"/>
          <w:b/>
        </w:rPr>
        <w:lastRenderedPageBreak/>
        <w:t>NICS</w:t>
      </w:r>
      <w:r w:rsidR="002E49A9">
        <w:rPr>
          <w:rFonts w:ascii="Arial" w:hAnsi="Arial" w:cs="Arial"/>
          <w:b/>
        </w:rPr>
        <w:t xml:space="preserve"> </w:t>
      </w:r>
      <w:r w:rsidR="00FB63EC">
        <w:rPr>
          <w:rFonts w:ascii="Arial" w:hAnsi="Arial" w:cs="Arial"/>
          <w:b/>
        </w:rPr>
        <w:t>subsistence</w:t>
      </w:r>
      <w:r w:rsidR="002E49A9">
        <w:rPr>
          <w:rFonts w:ascii="Arial" w:hAnsi="Arial" w:cs="Arial"/>
          <w:b/>
        </w:rPr>
        <w:t xml:space="preserve"> rate</w:t>
      </w:r>
      <w:r w:rsidRPr="00561427">
        <w:rPr>
          <w:rFonts w:ascii="Arial" w:hAnsi="Arial" w:cs="Arial"/>
        </w:rPr>
        <w:t xml:space="preserve">. </w:t>
      </w:r>
      <w:r w:rsidR="00693BB9">
        <w:rPr>
          <w:rFonts w:ascii="Arial" w:hAnsi="Arial" w:cs="Arial"/>
        </w:rPr>
        <w:t>Where a project is claiming for individual receipted items please note that a</w:t>
      </w:r>
      <w:r w:rsidR="00CA5046">
        <w:rPr>
          <w:rFonts w:ascii="Arial" w:hAnsi="Arial" w:cs="Arial"/>
        </w:rPr>
        <w:t xml:space="preserve">lcohol </w:t>
      </w:r>
      <w:r w:rsidR="00FB63EC">
        <w:rPr>
          <w:rFonts w:ascii="Arial" w:hAnsi="Arial" w:cs="Arial"/>
        </w:rPr>
        <w:t>is</w:t>
      </w:r>
      <w:r w:rsidR="00CA5046">
        <w:rPr>
          <w:rFonts w:ascii="Arial" w:hAnsi="Arial" w:cs="Arial"/>
        </w:rPr>
        <w:t xml:space="preserve"> not eligible under NICS </w:t>
      </w:r>
      <w:r w:rsidR="00693BB9">
        <w:rPr>
          <w:rFonts w:ascii="Arial" w:hAnsi="Arial" w:cs="Arial"/>
        </w:rPr>
        <w:t xml:space="preserve">rules and </w:t>
      </w:r>
      <w:r w:rsidR="00376016">
        <w:rPr>
          <w:rFonts w:ascii="Arial" w:hAnsi="Arial" w:cs="Arial"/>
        </w:rPr>
        <w:t>is</w:t>
      </w:r>
      <w:r w:rsidR="00693BB9">
        <w:rPr>
          <w:rFonts w:ascii="Arial" w:hAnsi="Arial" w:cs="Arial"/>
        </w:rPr>
        <w:t xml:space="preserve"> therefore ineligible within the Programme. </w:t>
      </w:r>
      <w:r w:rsidR="009C276F">
        <w:rPr>
          <w:rFonts w:ascii="Arial" w:hAnsi="Arial" w:cs="Arial"/>
        </w:rPr>
        <w:t xml:space="preserve">Tips for meals </w:t>
      </w:r>
      <w:r w:rsidR="008C22A8">
        <w:rPr>
          <w:rFonts w:ascii="Arial" w:hAnsi="Arial" w:cs="Arial"/>
        </w:rPr>
        <w:t>are eligible up to 10</w:t>
      </w:r>
      <w:r w:rsidR="009C276F">
        <w:rPr>
          <w:rFonts w:ascii="Arial" w:hAnsi="Arial" w:cs="Arial"/>
        </w:rPr>
        <w:t>% of the cost of eligible items.</w:t>
      </w:r>
    </w:p>
    <w:p w:rsidR="00693BB9" w:rsidRDefault="00693BB9" w:rsidP="00376016">
      <w:pPr>
        <w:pStyle w:val="ListParagraph"/>
        <w:jc w:val="both"/>
        <w:rPr>
          <w:rFonts w:ascii="Arial" w:hAnsi="Arial" w:cs="Arial"/>
        </w:rPr>
      </w:pPr>
    </w:p>
    <w:p w:rsidR="00262E26" w:rsidRDefault="00151EB2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has shown that car parking </w:t>
      </w:r>
      <w:r w:rsidR="007300A0">
        <w:rPr>
          <w:rFonts w:ascii="Arial" w:hAnsi="Arial" w:cs="Arial"/>
        </w:rPr>
        <w:t xml:space="preserve">and other low value costs associated with travel </w:t>
      </w:r>
      <w:r>
        <w:rPr>
          <w:rFonts w:ascii="Arial" w:hAnsi="Arial" w:cs="Arial"/>
        </w:rPr>
        <w:t xml:space="preserve">can be difficult to vouch as </w:t>
      </w:r>
      <w:r w:rsidR="003040A5">
        <w:rPr>
          <w:rFonts w:ascii="Arial" w:hAnsi="Arial" w:cs="Arial"/>
        </w:rPr>
        <w:t>supporting documents</w:t>
      </w:r>
      <w:r>
        <w:rPr>
          <w:rFonts w:ascii="Arial" w:hAnsi="Arial" w:cs="Arial"/>
        </w:rPr>
        <w:t xml:space="preserve"> </w:t>
      </w:r>
      <w:r w:rsidR="00FB63EC">
        <w:rPr>
          <w:rFonts w:ascii="Arial" w:hAnsi="Arial" w:cs="Arial"/>
        </w:rPr>
        <w:t>are often not retained</w:t>
      </w:r>
      <w:r>
        <w:rPr>
          <w:rFonts w:ascii="Arial" w:hAnsi="Arial" w:cs="Arial"/>
        </w:rPr>
        <w:t xml:space="preserve">. Intermediate Bodies must ensure that the necessary supporting documentation </w:t>
      </w:r>
      <w:r w:rsidR="00FB63EC">
        <w:rPr>
          <w:rFonts w:ascii="Arial" w:hAnsi="Arial" w:cs="Arial"/>
        </w:rPr>
        <w:t>is being securely retained by</w:t>
      </w:r>
      <w:r>
        <w:rPr>
          <w:rFonts w:ascii="Arial" w:hAnsi="Arial" w:cs="Arial"/>
        </w:rPr>
        <w:t xml:space="preserve"> the project</w:t>
      </w:r>
      <w:r w:rsidR="006C62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626CF" w:rsidRDefault="009626C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2FF7" w:rsidRDefault="00B12FF7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1427">
        <w:rPr>
          <w:rFonts w:ascii="Arial" w:hAnsi="Arial" w:cs="Arial"/>
        </w:rPr>
        <w:t xml:space="preserve">The mileage rates for business travel </w:t>
      </w:r>
      <w:r w:rsidR="00D2256D">
        <w:rPr>
          <w:rFonts w:ascii="Arial" w:hAnsi="Arial" w:cs="Arial"/>
        </w:rPr>
        <w:t>are:</w:t>
      </w:r>
      <w:r w:rsidRPr="00561427">
        <w:rPr>
          <w:rFonts w:ascii="Arial" w:hAnsi="Arial" w:cs="Arial"/>
        </w:rPr>
        <w:t xml:space="preserve"> </w:t>
      </w:r>
    </w:p>
    <w:p w:rsidR="00D2256D" w:rsidRDefault="00D2256D" w:rsidP="00D2256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4500" w:type="pct"/>
        <w:tblInd w:w="810" w:type="dxa"/>
        <w:tblBorders>
          <w:top w:val="single" w:sz="6" w:space="0" w:color="CCCCCC"/>
          <w:bottom w:val="single" w:sz="12" w:space="0" w:color="CCCC33"/>
        </w:tblBorders>
        <w:tblCellMar>
          <w:left w:w="0" w:type="dxa"/>
          <w:right w:w="0" w:type="dxa"/>
        </w:tblCellMar>
        <w:tblLook w:val="0000"/>
      </w:tblPr>
      <w:tblGrid>
        <w:gridCol w:w="2515"/>
        <w:gridCol w:w="2868"/>
        <w:gridCol w:w="2254"/>
      </w:tblGrid>
      <w:tr w:rsidR="00D2256D" w:rsidRPr="00EF547A" w:rsidTr="006030F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2256D" w:rsidRPr="00EF547A" w:rsidRDefault="00D2256D">
            <w:pPr>
              <w:spacing w:before="300" w:after="150"/>
              <w:ind w:right="150"/>
              <w:rPr>
                <w:rFonts w:ascii="Arial" w:hAnsi="Arial" w:cs="Arial"/>
                <w:b/>
                <w:bCs/>
              </w:rPr>
            </w:pPr>
            <w:r w:rsidRPr="00EF547A">
              <w:rPr>
                <w:rFonts w:ascii="Arial" w:hAnsi="Arial" w:cs="Arial"/>
                <w:b/>
                <w:bCs/>
              </w:rPr>
              <w:t xml:space="preserve">Tax - Rates per business mile </w:t>
            </w:r>
            <w:r w:rsidR="00EF547A" w:rsidRPr="00EF547A">
              <w:rPr>
                <w:rFonts w:ascii="Arial" w:hAnsi="Arial" w:cs="Arial"/>
                <w:b/>
                <w:bCs/>
                <w:lang/>
              </w:rPr>
              <w:t>For years 2002-03 to 2010-11</w:t>
            </w:r>
          </w:p>
        </w:tc>
      </w:tr>
      <w:tr w:rsidR="00D2256D" w:rsidRPr="00EF547A" w:rsidTr="006030F0">
        <w:trPr>
          <w:tblHeader/>
        </w:trPr>
        <w:tc>
          <w:tcPr>
            <w:tcW w:w="0" w:type="auto"/>
            <w:tcBorders>
              <w:left w:val="single" w:sz="6" w:space="0" w:color="CCCCCC"/>
              <w:bottom w:val="single" w:sz="12" w:space="0" w:color="CCCC33"/>
              <w:right w:val="single" w:sz="6" w:space="0" w:color="CCCCCC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47A">
              <w:rPr>
                <w:rFonts w:ascii="Arial" w:hAnsi="Arial" w:cs="Arial"/>
                <w:b/>
                <w:bCs/>
                <w:color w:val="000000"/>
              </w:rPr>
              <w:t>Type of vehicle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CCCC33"/>
              <w:right w:val="single" w:sz="6" w:space="0" w:color="CCCCCC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47A">
              <w:rPr>
                <w:rFonts w:ascii="Arial" w:hAnsi="Arial" w:cs="Arial"/>
                <w:b/>
                <w:bCs/>
                <w:color w:val="000000"/>
              </w:rPr>
              <w:t>First 10,000 miles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CCCC33"/>
              <w:right w:val="single" w:sz="6" w:space="0" w:color="CCCCCC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47A">
              <w:rPr>
                <w:rFonts w:ascii="Arial" w:hAnsi="Arial" w:cs="Arial"/>
                <w:b/>
                <w:bCs/>
                <w:color w:val="000000"/>
              </w:rPr>
              <w:t>Above 10,000</w:t>
            </w:r>
          </w:p>
        </w:tc>
      </w:tr>
      <w:tr w:rsidR="00D2256D" w:rsidRPr="00EF547A" w:rsidTr="006030F0">
        <w:tc>
          <w:tcPr>
            <w:tcW w:w="25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Cars and vans</w:t>
            </w:r>
          </w:p>
        </w:tc>
        <w:tc>
          <w:tcPr>
            <w:tcW w:w="286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40p</w:t>
            </w:r>
          </w:p>
        </w:tc>
        <w:tc>
          <w:tcPr>
            <w:tcW w:w="22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 xml:space="preserve">25p </w:t>
            </w:r>
          </w:p>
        </w:tc>
      </w:tr>
      <w:tr w:rsidR="00D2256D" w:rsidRPr="00EF547A" w:rsidTr="006030F0">
        <w:tc>
          <w:tcPr>
            <w:tcW w:w="25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Motorcycles</w:t>
            </w:r>
          </w:p>
        </w:tc>
        <w:tc>
          <w:tcPr>
            <w:tcW w:w="286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24p</w:t>
            </w:r>
          </w:p>
        </w:tc>
        <w:tc>
          <w:tcPr>
            <w:tcW w:w="22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24p</w:t>
            </w:r>
          </w:p>
        </w:tc>
      </w:tr>
      <w:tr w:rsidR="00D2256D" w:rsidRPr="00EF547A" w:rsidTr="006030F0">
        <w:tc>
          <w:tcPr>
            <w:tcW w:w="25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Cycles</w:t>
            </w:r>
          </w:p>
        </w:tc>
        <w:tc>
          <w:tcPr>
            <w:tcW w:w="286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20p</w:t>
            </w:r>
          </w:p>
        </w:tc>
        <w:tc>
          <w:tcPr>
            <w:tcW w:w="22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256D" w:rsidRPr="00EF547A" w:rsidRDefault="00D2256D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20p</w:t>
            </w:r>
          </w:p>
        </w:tc>
      </w:tr>
    </w:tbl>
    <w:p w:rsidR="00D2256D" w:rsidRDefault="00D2256D" w:rsidP="00D2256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4500" w:type="pct"/>
        <w:tblInd w:w="810" w:type="dxa"/>
        <w:tblBorders>
          <w:top w:val="single" w:sz="6" w:space="0" w:color="CCCCCC"/>
          <w:bottom w:val="single" w:sz="12" w:space="0" w:color="CCCC33"/>
        </w:tblBorders>
        <w:tblCellMar>
          <w:left w:w="0" w:type="dxa"/>
          <w:right w:w="0" w:type="dxa"/>
        </w:tblCellMar>
        <w:tblLook w:val="0000"/>
      </w:tblPr>
      <w:tblGrid>
        <w:gridCol w:w="2515"/>
        <w:gridCol w:w="2868"/>
        <w:gridCol w:w="2254"/>
      </w:tblGrid>
      <w:tr w:rsidR="00EF547A" w:rsidRPr="00EF547A" w:rsidTr="006030F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F547A" w:rsidRPr="00EF547A" w:rsidRDefault="00EF547A">
            <w:pPr>
              <w:spacing w:before="300" w:after="150"/>
              <w:ind w:right="150"/>
              <w:rPr>
                <w:rFonts w:ascii="Arial" w:hAnsi="Arial" w:cs="Arial"/>
                <w:b/>
                <w:bCs/>
              </w:rPr>
            </w:pPr>
            <w:r w:rsidRPr="00EF547A">
              <w:rPr>
                <w:rFonts w:ascii="Arial" w:hAnsi="Arial" w:cs="Arial"/>
                <w:b/>
                <w:bCs/>
              </w:rPr>
              <w:t xml:space="preserve">Tax - Rates per business mile </w:t>
            </w:r>
            <w:r w:rsidRPr="00EF547A">
              <w:rPr>
                <w:rFonts w:ascii="Arial" w:hAnsi="Arial" w:cs="Arial"/>
                <w:b/>
                <w:bCs/>
                <w:lang/>
              </w:rPr>
              <w:t>for years from 2011-12</w:t>
            </w:r>
          </w:p>
        </w:tc>
      </w:tr>
      <w:tr w:rsidR="00EF547A" w:rsidRPr="00EF547A" w:rsidTr="006030F0">
        <w:trPr>
          <w:tblHeader/>
        </w:trPr>
        <w:tc>
          <w:tcPr>
            <w:tcW w:w="0" w:type="auto"/>
            <w:tcBorders>
              <w:left w:val="single" w:sz="6" w:space="0" w:color="CCCCCC"/>
              <w:bottom w:val="single" w:sz="12" w:space="0" w:color="CCCC33"/>
              <w:right w:val="single" w:sz="6" w:space="0" w:color="CCCCCC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47A">
              <w:rPr>
                <w:rFonts w:ascii="Arial" w:hAnsi="Arial" w:cs="Arial"/>
                <w:b/>
                <w:bCs/>
                <w:color w:val="000000"/>
              </w:rPr>
              <w:t>Type of vehicle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CCCC33"/>
              <w:right w:val="single" w:sz="6" w:space="0" w:color="CCCCCC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47A">
              <w:rPr>
                <w:rFonts w:ascii="Arial" w:hAnsi="Arial" w:cs="Arial"/>
                <w:b/>
                <w:bCs/>
                <w:color w:val="000000"/>
              </w:rPr>
              <w:t>First 10,000 miles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12" w:space="0" w:color="CCCC33"/>
              <w:right w:val="single" w:sz="6" w:space="0" w:color="CCCCCC"/>
            </w:tcBorders>
            <w:shd w:val="clear" w:color="auto" w:fill="F5F5D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547A">
              <w:rPr>
                <w:rFonts w:ascii="Arial" w:hAnsi="Arial" w:cs="Arial"/>
                <w:b/>
                <w:bCs/>
                <w:color w:val="000000"/>
              </w:rPr>
              <w:t>Above 10,000</w:t>
            </w:r>
          </w:p>
        </w:tc>
      </w:tr>
      <w:tr w:rsidR="00EF547A" w:rsidRPr="00EF547A" w:rsidTr="006030F0">
        <w:tc>
          <w:tcPr>
            <w:tcW w:w="25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Cars and vans</w:t>
            </w:r>
          </w:p>
        </w:tc>
        <w:tc>
          <w:tcPr>
            <w:tcW w:w="286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45p</w:t>
            </w:r>
          </w:p>
        </w:tc>
        <w:tc>
          <w:tcPr>
            <w:tcW w:w="22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 xml:space="preserve">25p </w:t>
            </w:r>
          </w:p>
        </w:tc>
      </w:tr>
      <w:tr w:rsidR="00EF547A" w:rsidRPr="00EF547A" w:rsidTr="006030F0">
        <w:tc>
          <w:tcPr>
            <w:tcW w:w="25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Motorcycles</w:t>
            </w:r>
          </w:p>
        </w:tc>
        <w:tc>
          <w:tcPr>
            <w:tcW w:w="286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24p</w:t>
            </w:r>
          </w:p>
        </w:tc>
        <w:tc>
          <w:tcPr>
            <w:tcW w:w="22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24p</w:t>
            </w:r>
          </w:p>
        </w:tc>
      </w:tr>
      <w:tr w:rsidR="00EF547A" w:rsidRPr="00EF547A" w:rsidTr="006030F0">
        <w:tc>
          <w:tcPr>
            <w:tcW w:w="25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Cycles</w:t>
            </w:r>
          </w:p>
        </w:tc>
        <w:tc>
          <w:tcPr>
            <w:tcW w:w="286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20p</w:t>
            </w:r>
          </w:p>
        </w:tc>
        <w:tc>
          <w:tcPr>
            <w:tcW w:w="22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547A" w:rsidRPr="00EF547A" w:rsidRDefault="00EF547A">
            <w:pPr>
              <w:rPr>
                <w:rFonts w:ascii="Arial" w:hAnsi="Arial" w:cs="Arial"/>
              </w:rPr>
            </w:pPr>
            <w:r w:rsidRPr="00EF547A">
              <w:rPr>
                <w:rFonts w:ascii="Arial" w:hAnsi="Arial" w:cs="Arial"/>
              </w:rPr>
              <w:t>20p</w:t>
            </w:r>
          </w:p>
        </w:tc>
      </w:tr>
    </w:tbl>
    <w:p w:rsidR="00EF547A" w:rsidRPr="00561427" w:rsidRDefault="00EF547A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76016" w:rsidRDefault="00376016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NICS subsistence policy is available </w:t>
      </w:r>
      <w:hyperlink r:id="rId9" w:history="1">
        <w:r>
          <w:rPr>
            <w:rStyle w:val="Hyperlink"/>
            <w:rFonts w:ascii="Arial" w:hAnsi="Arial" w:cs="Arial"/>
          </w:rPr>
          <w:t>he</w:t>
        </w:r>
        <w:r>
          <w:rPr>
            <w:rStyle w:val="Hyperlink"/>
            <w:rFonts w:ascii="Arial" w:hAnsi="Arial" w:cs="Arial"/>
          </w:rPr>
          <w:t>r</w:t>
        </w:r>
        <w:r>
          <w:rPr>
            <w:rStyle w:val="Hyperlink"/>
            <w:rFonts w:ascii="Arial" w:hAnsi="Arial" w:cs="Arial"/>
          </w:rPr>
          <w:t>e.</w:t>
        </w:r>
      </w:hyperlink>
    </w:p>
    <w:p w:rsidR="00376016" w:rsidRDefault="00376016" w:rsidP="0037601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B12FF7" w:rsidRPr="00561427" w:rsidRDefault="00B12FF7" w:rsidP="0037601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1427">
        <w:rPr>
          <w:rFonts w:ascii="Arial" w:hAnsi="Arial" w:cs="Arial"/>
        </w:rPr>
        <w:t xml:space="preserve">For </w:t>
      </w:r>
      <w:smartTag w:uri="urn:schemas-microsoft-com:office:smarttags" w:element="country-region">
        <w:r w:rsidRPr="00561427">
          <w:rPr>
            <w:rFonts w:ascii="Arial" w:hAnsi="Arial" w:cs="Arial"/>
          </w:rPr>
          <w:t>Northern Ireland</w:t>
        </w:r>
      </w:smartTag>
      <w:r w:rsidRPr="00561427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61427">
            <w:rPr>
              <w:rFonts w:ascii="Arial" w:hAnsi="Arial" w:cs="Arial"/>
            </w:rPr>
            <w:t>UK</w:t>
          </w:r>
        </w:smartTag>
      </w:smartTag>
      <w:r w:rsidRPr="00561427">
        <w:rPr>
          <w:rFonts w:ascii="Arial" w:hAnsi="Arial" w:cs="Arial"/>
        </w:rPr>
        <w:t xml:space="preserve"> travel, the specific ceilings which apply are included in the policy at Annex 1.</w:t>
      </w:r>
    </w:p>
    <w:p w:rsidR="00B12FF7" w:rsidRPr="00561427" w:rsidRDefault="005B177F" w:rsidP="003760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bookmarkStart w:id="0" w:name="8"/>
      <w:bookmarkEnd w:id="0"/>
      <w:r w:rsidRPr="00561427">
        <w:rPr>
          <w:rFonts w:ascii="Arial" w:hAnsi="Arial" w:cs="Arial"/>
        </w:rPr>
        <w:br/>
      </w:r>
    </w:p>
    <w:p w:rsidR="00B12FF7" w:rsidRPr="00561427" w:rsidRDefault="00B12FF7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2FF7" w:rsidRPr="00561427" w:rsidRDefault="00376016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61427" w:rsidRPr="00561427">
        <w:rPr>
          <w:rFonts w:ascii="Arial" w:hAnsi="Arial" w:cs="Arial"/>
        </w:rPr>
        <w:tab/>
      </w:r>
      <w:r w:rsidR="00B12FF7" w:rsidRPr="00561427">
        <w:rPr>
          <w:rFonts w:ascii="Arial" w:hAnsi="Arial" w:cs="Arial"/>
        </w:rPr>
        <w:t xml:space="preserve">The </w:t>
      </w:r>
      <w:r w:rsidR="002F0CCC">
        <w:rPr>
          <w:rFonts w:ascii="Arial" w:hAnsi="Arial" w:cs="Arial"/>
        </w:rPr>
        <w:t>maximum rates</w:t>
      </w:r>
      <w:r w:rsidR="002F0CCC" w:rsidRPr="00561427">
        <w:rPr>
          <w:rFonts w:ascii="Arial" w:hAnsi="Arial" w:cs="Arial"/>
        </w:rPr>
        <w:t xml:space="preserve"> </w:t>
      </w:r>
      <w:r w:rsidR="002F0CCC">
        <w:rPr>
          <w:rFonts w:ascii="Arial" w:hAnsi="Arial" w:cs="Arial"/>
        </w:rPr>
        <w:t xml:space="preserve">allowable </w:t>
      </w:r>
      <w:r w:rsidR="00B12FF7" w:rsidRPr="00561427">
        <w:rPr>
          <w:rFonts w:ascii="Arial" w:hAnsi="Arial" w:cs="Arial"/>
        </w:rPr>
        <w:t xml:space="preserve">for overseas allowances are </w:t>
      </w:r>
      <w:r>
        <w:rPr>
          <w:rFonts w:ascii="Arial" w:hAnsi="Arial" w:cs="Arial"/>
        </w:rPr>
        <w:t>available</w:t>
      </w:r>
      <w:r w:rsidR="00B12FF7" w:rsidRPr="00561427">
        <w:rPr>
          <w:rFonts w:ascii="Arial" w:hAnsi="Arial" w:cs="Arial"/>
        </w:rPr>
        <w:t xml:space="preserve"> </w:t>
      </w:r>
      <w:r w:rsidR="004A5FE5" w:rsidRPr="00561427">
        <w:rPr>
          <w:rFonts w:ascii="Arial" w:hAnsi="Arial" w:cs="Arial"/>
        </w:rPr>
        <w:t xml:space="preserve"> </w:t>
      </w:r>
    </w:p>
    <w:p w:rsidR="00B12FF7" w:rsidRPr="00561427" w:rsidRDefault="004A5FE5" w:rsidP="003760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hyperlink r:id="rId10" w:history="1">
        <w:r w:rsidR="00376016">
          <w:rPr>
            <w:rStyle w:val="Hyperlink"/>
            <w:rFonts w:ascii="Arial" w:hAnsi="Arial" w:cs="Arial"/>
          </w:rPr>
          <w:t>h</w:t>
        </w:r>
        <w:r w:rsidR="00376016">
          <w:rPr>
            <w:rStyle w:val="Hyperlink"/>
            <w:rFonts w:ascii="Arial" w:hAnsi="Arial" w:cs="Arial"/>
          </w:rPr>
          <w:t>e</w:t>
        </w:r>
        <w:r w:rsidR="00376016">
          <w:rPr>
            <w:rStyle w:val="Hyperlink"/>
            <w:rFonts w:ascii="Arial" w:hAnsi="Arial" w:cs="Arial"/>
          </w:rPr>
          <w:t>re.</w:t>
        </w:r>
      </w:hyperlink>
      <w:r w:rsidRPr="00561427">
        <w:rPr>
          <w:rFonts w:ascii="Arial" w:hAnsi="Arial" w:cs="Arial"/>
        </w:rPr>
        <w:t xml:space="preserve">    </w:t>
      </w:r>
    </w:p>
    <w:p w:rsidR="005B177F" w:rsidRPr="00561427" w:rsidRDefault="005B177F" w:rsidP="003760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3040A5" w:rsidRDefault="00376016" w:rsidP="00376016">
      <w:pPr>
        <w:pStyle w:val="Default"/>
        <w:spacing w:line="360" w:lineRule="auto"/>
        <w:ind w:left="720" w:hanging="720"/>
        <w:jc w:val="both"/>
        <w:rPr>
          <w:color w:val="auto"/>
        </w:rPr>
      </w:pPr>
      <w:r>
        <w:rPr>
          <w:color w:val="auto"/>
        </w:rPr>
        <w:t>16.</w:t>
      </w:r>
      <w:r w:rsidR="00561427" w:rsidRPr="00561427">
        <w:rPr>
          <w:color w:val="auto"/>
        </w:rPr>
        <w:tab/>
      </w:r>
      <w:r w:rsidR="006C620C">
        <w:rPr>
          <w:color w:val="auto"/>
        </w:rPr>
        <w:t xml:space="preserve">It is best practice to use a </w:t>
      </w:r>
      <w:r w:rsidR="00FB06E3" w:rsidRPr="00561427">
        <w:rPr>
          <w:color w:val="auto"/>
        </w:rPr>
        <w:t>s</w:t>
      </w:r>
      <w:r w:rsidR="008F1D7B" w:rsidRPr="00561427">
        <w:rPr>
          <w:color w:val="auto"/>
        </w:rPr>
        <w:t>taff travel claim form</w:t>
      </w:r>
      <w:r w:rsidR="006C620C">
        <w:rPr>
          <w:color w:val="auto"/>
        </w:rPr>
        <w:t xml:space="preserve"> </w:t>
      </w:r>
      <w:r w:rsidR="00FB06E3" w:rsidRPr="00561427">
        <w:rPr>
          <w:color w:val="auto"/>
        </w:rPr>
        <w:t>which details travel undertaken, reasons for the journey</w:t>
      </w:r>
      <w:r w:rsidR="00270B58">
        <w:rPr>
          <w:color w:val="auto"/>
        </w:rPr>
        <w:t xml:space="preserve"> (which must relate directly to the project)</w:t>
      </w:r>
      <w:r w:rsidR="00FB06E3" w:rsidRPr="00561427">
        <w:rPr>
          <w:color w:val="auto"/>
        </w:rPr>
        <w:t>, timings and the amount claimed. Supporting receipts</w:t>
      </w:r>
      <w:r w:rsidR="00245FA6">
        <w:rPr>
          <w:color w:val="auto"/>
        </w:rPr>
        <w:t>,</w:t>
      </w:r>
      <w:r w:rsidR="00FB06E3" w:rsidRPr="00561427">
        <w:rPr>
          <w:color w:val="auto"/>
        </w:rPr>
        <w:t xml:space="preserve"> where appropriate</w:t>
      </w:r>
      <w:r w:rsidR="00245FA6">
        <w:rPr>
          <w:color w:val="auto"/>
        </w:rPr>
        <w:t>,</w:t>
      </w:r>
      <w:r w:rsidR="00FB06E3" w:rsidRPr="00561427">
        <w:rPr>
          <w:color w:val="auto"/>
        </w:rPr>
        <w:t xml:space="preserve"> should be numbered and cross-referenced. </w:t>
      </w:r>
    </w:p>
    <w:p w:rsidR="003040A5" w:rsidRDefault="003040A5" w:rsidP="00376016">
      <w:pPr>
        <w:pStyle w:val="Default"/>
        <w:spacing w:line="360" w:lineRule="auto"/>
        <w:ind w:left="720" w:hanging="720"/>
        <w:jc w:val="both"/>
        <w:rPr>
          <w:color w:val="auto"/>
        </w:rPr>
      </w:pPr>
    </w:p>
    <w:p w:rsidR="0098409F" w:rsidRDefault="00376016" w:rsidP="00376016">
      <w:pPr>
        <w:pStyle w:val="Default"/>
        <w:spacing w:line="360" w:lineRule="auto"/>
        <w:ind w:left="720" w:hanging="720"/>
        <w:jc w:val="both"/>
        <w:rPr>
          <w:color w:val="auto"/>
        </w:rPr>
      </w:pPr>
      <w:r>
        <w:rPr>
          <w:color w:val="auto"/>
        </w:rPr>
        <w:t>17.</w:t>
      </w:r>
      <w:r w:rsidR="003040A5">
        <w:rPr>
          <w:color w:val="auto"/>
        </w:rPr>
        <w:tab/>
      </w:r>
      <w:r w:rsidR="00531F82">
        <w:rPr>
          <w:color w:val="auto"/>
        </w:rPr>
        <w:t>A template travel claim form is attached at Annex A</w:t>
      </w:r>
      <w:r w:rsidR="003040A5">
        <w:rPr>
          <w:color w:val="auto"/>
        </w:rPr>
        <w:t xml:space="preserve"> as a guide for</w:t>
      </w:r>
      <w:r w:rsidR="00531F82">
        <w:rPr>
          <w:color w:val="auto"/>
        </w:rPr>
        <w:t xml:space="preserve"> projects </w:t>
      </w:r>
      <w:r w:rsidR="003040A5">
        <w:rPr>
          <w:color w:val="auto"/>
        </w:rPr>
        <w:t xml:space="preserve">and it is recommended that projects adopt this form, if they do not have an existing travel expenses claim form. </w:t>
      </w:r>
      <w:r w:rsidR="0098409F">
        <w:rPr>
          <w:color w:val="auto"/>
        </w:rPr>
        <w:t>However, projects must</w:t>
      </w:r>
      <w:r w:rsidR="006C620C">
        <w:rPr>
          <w:color w:val="auto"/>
        </w:rPr>
        <w:t xml:space="preserve"> as a minimum</w:t>
      </w:r>
      <w:r w:rsidR="0098409F">
        <w:rPr>
          <w:color w:val="auto"/>
        </w:rPr>
        <w:t xml:space="preserve">: </w:t>
      </w:r>
      <w:r w:rsidR="003040A5">
        <w:rPr>
          <w:color w:val="auto"/>
        </w:rPr>
        <w:t xml:space="preserve"> </w:t>
      </w:r>
    </w:p>
    <w:p w:rsidR="0098409F" w:rsidRDefault="003040A5" w:rsidP="0037601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maintain a record of all the travel details specified in paragraph 1.15 (in some auditable form)</w:t>
      </w:r>
      <w:r w:rsidR="006C620C">
        <w:rPr>
          <w:color w:val="auto"/>
        </w:rPr>
        <w:t>;</w:t>
      </w:r>
    </w:p>
    <w:p w:rsidR="0098409F" w:rsidRDefault="0098409F" w:rsidP="0037601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retain evidence that the expenses claimed have been approved in line with paragraph 1.17 below;</w:t>
      </w:r>
      <w:r w:rsidR="003040A5">
        <w:rPr>
          <w:color w:val="auto"/>
        </w:rPr>
        <w:t xml:space="preserve"> </w:t>
      </w:r>
    </w:p>
    <w:p w:rsidR="006C620C" w:rsidRDefault="003040A5" w:rsidP="0037601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be able to demonstrate through documents retained that the expenditure relates directly to the project and was actually incurred</w:t>
      </w:r>
      <w:r w:rsidR="006C620C">
        <w:rPr>
          <w:color w:val="auto"/>
        </w:rPr>
        <w:t>; and</w:t>
      </w:r>
    </w:p>
    <w:p w:rsidR="0060465D" w:rsidRPr="00561427" w:rsidRDefault="006C620C" w:rsidP="0037601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ensure that the travel claim is approved/authorised by an appropriate staff member. This will normally be the line manager, finance personnel or senior executive. Where the travel relates to a Chief </w:t>
      </w:r>
      <w:r w:rsidR="00C6061A">
        <w:rPr>
          <w:color w:val="auto"/>
        </w:rPr>
        <w:t xml:space="preserve">Executive </w:t>
      </w:r>
      <w:r>
        <w:rPr>
          <w:color w:val="auto"/>
        </w:rPr>
        <w:t>or Managing Director the claim should be authorised by the company accountant or other relevant personnel. In the case of sole traders the individually certified form will be considered adequate.</w:t>
      </w:r>
    </w:p>
    <w:p w:rsidR="0060465D" w:rsidRDefault="0060465D" w:rsidP="00376016">
      <w:pPr>
        <w:pStyle w:val="Default"/>
        <w:tabs>
          <w:tab w:val="num" w:pos="720"/>
        </w:tabs>
        <w:spacing w:line="360" w:lineRule="auto"/>
        <w:ind w:left="720" w:hanging="720"/>
        <w:jc w:val="both"/>
        <w:rPr>
          <w:color w:val="auto"/>
        </w:rPr>
      </w:pPr>
    </w:p>
    <w:p w:rsidR="009626CF" w:rsidRPr="00561427" w:rsidRDefault="009626CF" w:rsidP="00376016">
      <w:pPr>
        <w:pStyle w:val="Default"/>
        <w:tabs>
          <w:tab w:val="num" w:pos="720"/>
        </w:tabs>
        <w:spacing w:line="360" w:lineRule="auto"/>
        <w:ind w:left="720" w:hanging="720"/>
        <w:jc w:val="both"/>
        <w:rPr>
          <w:color w:val="auto"/>
        </w:rPr>
      </w:pPr>
    </w:p>
    <w:p w:rsidR="00FB06E3" w:rsidRPr="00561427" w:rsidRDefault="00376016" w:rsidP="0037601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18.</w:t>
      </w:r>
      <w:r w:rsidR="00561427" w:rsidRPr="00561427">
        <w:rPr>
          <w:color w:val="auto"/>
        </w:rPr>
        <w:tab/>
      </w:r>
      <w:r w:rsidR="00FB06E3" w:rsidRPr="00561427">
        <w:rPr>
          <w:color w:val="auto"/>
        </w:rPr>
        <w:t xml:space="preserve">When approving a claim, authorising officers must ensure that: </w:t>
      </w:r>
    </w:p>
    <w:p w:rsidR="00624DA8" w:rsidRPr="00561427" w:rsidRDefault="00624DA8" w:rsidP="00376016">
      <w:pPr>
        <w:pStyle w:val="Default"/>
        <w:spacing w:line="360" w:lineRule="auto"/>
        <w:ind w:left="1080" w:hanging="360"/>
        <w:jc w:val="both"/>
        <w:rPr>
          <w:color w:val="auto"/>
        </w:rPr>
      </w:pPr>
    </w:p>
    <w:p w:rsidR="00FB06E3" w:rsidRPr="00561427" w:rsidRDefault="00FB06E3" w:rsidP="0037601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61427">
        <w:rPr>
          <w:color w:val="auto"/>
        </w:rPr>
        <w:t>the facts on the claim are correct and that any corrections are initial</w:t>
      </w:r>
      <w:r w:rsidR="008F1D7B" w:rsidRPr="00561427">
        <w:rPr>
          <w:color w:val="auto"/>
        </w:rPr>
        <w:t>l</w:t>
      </w:r>
      <w:r w:rsidRPr="00561427">
        <w:rPr>
          <w:color w:val="auto"/>
        </w:rPr>
        <w:t xml:space="preserve">ed; </w:t>
      </w:r>
    </w:p>
    <w:p w:rsidR="00624DA8" w:rsidRPr="00561427" w:rsidRDefault="00FB06E3" w:rsidP="0037601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61427">
        <w:rPr>
          <w:color w:val="auto"/>
        </w:rPr>
        <w:lastRenderedPageBreak/>
        <w:t xml:space="preserve">expenses claimed were actually and necessarily incurred on official business in the most economical manner; </w:t>
      </w:r>
    </w:p>
    <w:p w:rsidR="00FB06E3" w:rsidRPr="00561427" w:rsidRDefault="00FB06E3" w:rsidP="0037601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61427">
        <w:rPr>
          <w:color w:val="auto"/>
        </w:rPr>
        <w:t xml:space="preserve">the amount claimed complies with the relevant </w:t>
      </w:r>
      <w:r w:rsidR="00561427">
        <w:rPr>
          <w:color w:val="auto"/>
        </w:rPr>
        <w:t>NICS</w:t>
      </w:r>
      <w:r w:rsidRPr="00561427">
        <w:rPr>
          <w:color w:val="auto"/>
        </w:rPr>
        <w:t xml:space="preserve"> ceilings; </w:t>
      </w:r>
    </w:p>
    <w:p w:rsidR="00FB06E3" w:rsidRPr="00561427" w:rsidRDefault="00FB06E3" w:rsidP="0037601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61427">
        <w:rPr>
          <w:color w:val="auto"/>
        </w:rPr>
        <w:t xml:space="preserve">the claim is arithmetically correct; </w:t>
      </w:r>
    </w:p>
    <w:p w:rsidR="00FB06E3" w:rsidRPr="00561427" w:rsidRDefault="00FB06E3" w:rsidP="0037601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61427">
        <w:rPr>
          <w:color w:val="auto"/>
        </w:rPr>
        <w:t xml:space="preserve">the declaration is signed off by the claimant; and </w:t>
      </w:r>
    </w:p>
    <w:p w:rsidR="00FB06E3" w:rsidRDefault="00FB06E3" w:rsidP="0037601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61427">
        <w:rPr>
          <w:color w:val="auto"/>
        </w:rPr>
        <w:t xml:space="preserve">the </w:t>
      </w:r>
      <w:r w:rsidR="00561427">
        <w:rPr>
          <w:color w:val="auto"/>
        </w:rPr>
        <w:t>claim form once</w:t>
      </w:r>
      <w:r w:rsidRPr="00561427">
        <w:rPr>
          <w:color w:val="auto"/>
        </w:rPr>
        <w:t xml:space="preserve"> approv</w:t>
      </w:r>
      <w:r w:rsidR="00561427">
        <w:rPr>
          <w:color w:val="auto"/>
        </w:rPr>
        <w:t>ed</w:t>
      </w:r>
      <w:r w:rsidRPr="00561427">
        <w:rPr>
          <w:color w:val="auto"/>
        </w:rPr>
        <w:t xml:space="preserve"> </w:t>
      </w:r>
      <w:r w:rsidR="00561427">
        <w:rPr>
          <w:color w:val="auto"/>
        </w:rPr>
        <w:t>is</w:t>
      </w:r>
      <w:r w:rsidRPr="00561427">
        <w:rPr>
          <w:color w:val="auto"/>
        </w:rPr>
        <w:t xml:space="preserve"> passe</w:t>
      </w:r>
      <w:r w:rsidR="00561427">
        <w:rPr>
          <w:color w:val="auto"/>
        </w:rPr>
        <w:t>d</w:t>
      </w:r>
      <w:r w:rsidRPr="00561427">
        <w:rPr>
          <w:color w:val="auto"/>
        </w:rPr>
        <w:t xml:space="preserve"> directly for payment </w:t>
      </w:r>
      <w:r w:rsidR="00561427">
        <w:rPr>
          <w:color w:val="auto"/>
        </w:rPr>
        <w:t>and</w:t>
      </w:r>
      <w:r w:rsidRPr="00561427">
        <w:rPr>
          <w:color w:val="auto"/>
        </w:rPr>
        <w:t xml:space="preserve"> </w:t>
      </w:r>
      <w:r w:rsidR="006030F0">
        <w:rPr>
          <w:color w:val="auto"/>
        </w:rPr>
        <w:t xml:space="preserve">should </w:t>
      </w:r>
      <w:r w:rsidRPr="00561427">
        <w:rPr>
          <w:color w:val="auto"/>
        </w:rPr>
        <w:t xml:space="preserve">not be returned to the claimant. </w:t>
      </w:r>
    </w:p>
    <w:p w:rsidR="009626CF" w:rsidRDefault="009626CF" w:rsidP="00376016">
      <w:pPr>
        <w:pStyle w:val="Default"/>
        <w:spacing w:line="360" w:lineRule="auto"/>
        <w:ind w:left="1080" w:hanging="360"/>
        <w:jc w:val="both"/>
        <w:rPr>
          <w:color w:val="auto"/>
        </w:rPr>
      </w:pPr>
    </w:p>
    <w:p w:rsidR="009626CF" w:rsidRPr="0098409F" w:rsidRDefault="00376016" w:rsidP="00376016">
      <w:pPr>
        <w:pStyle w:val="Default"/>
        <w:spacing w:line="360" w:lineRule="auto"/>
        <w:ind w:left="720" w:hanging="720"/>
        <w:jc w:val="both"/>
        <w:rPr>
          <w:color w:val="auto"/>
        </w:rPr>
      </w:pPr>
      <w:r>
        <w:rPr>
          <w:color w:val="auto"/>
        </w:rPr>
        <w:t>19.</w:t>
      </w:r>
      <w:r w:rsidR="0098409F">
        <w:rPr>
          <w:color w:val="auto"/>
        </w:rPr>
        <w:tab/>
        <w:t>In the case of small</w:t>
      </w:r>
      <w:r w:rsidR="0098409F" w:rsidRPr="0098409F">
        <w:rPr>
          <w:color w:val="auto"/>
        </w:rPr>
        <w:t xml:space="preserve"> companies </w:t>
      </w:r>
      <w:r w:rsidR="0098409F">
        <w:rPr>
          <w:color w:val="auto"/>
        </w:rPr>
        <w:t xml:space="preserve">it may not be practical to implement a travel approval process (particularly </w:t>
      </w:r>
      <w:r w:rsidR="0098409F" w:rsidRPr="0098409F">
        <w:rPr>
          <w:color w:val="auto"/>
        </w:rPr>
        <w:t>where the</w:t>
      </w:r>
      <w:r w:rsidR="00A82626">
        <w:rPr>
          <w:color w:val="auto"/>
        </w:rPr>
        <w:t xml:space="preserve"> travel claim relates, for example,</w:t>
      </w:r>
      <w:r w:rsidR="0098409F">
        <w:rPr>
          <w:color w:val="auto"/>
        </w:rPr>
        <w:t xml:space="preserve"> to the owner). In these instances, the purpose of the visit may be demonstrated through minutes of meetings or by retaining conference literature or other related material.  </w:t>
      </w:r>
      <w:r w:rsidR="0098409F" w:rsidRPr="0098409F">
        <w:rPr>
          <w:color w:val="auto"/>
        </w:rPr>
        <w:t xml:space="preserve"> </w:t>
      </w:r>
    </w:p>
    <w:p w:rsidR="0098409F" w:rsidRDefault="0098409F" w:rsidP="009626CF">
      <w:pPr>
        <w:pStyle w:val="Default"/>
        <w:spacing w:line="360" w:lineRule="auto"/>
        <w:ind w:left="360" w:hanging="360"/>
        <w:rPr>
          <w:b/>
          <w:color w:val="auto"/>
        </w:rPr>
      </w:pPr>
    </w:p>
    <w:p w:rsidR="009323F9" w:rsidRPr="009626CF" w:rsidRDefault="00C6061A" w:rsidP="009626CF">
      <w:pPr>
        <w:pStyle w:val="Default"/>
        <w:spacing w:line="360" w:lineRule="auto"/>
        <w:ind w:left="360" w:hanging="360"/>
        <w:jc w:val="right"/>
        <w:rPr>
          <w:b/>
          <w:color w:val="auto"/>
        </w:rPr>
      </w:pPr>
      <w:r>
        <w:rPr>
          <w:b/>
          <w:color w:val="auto"/>
        </w:rPr>
        <w:t>06</w:t>
      </w:r>
      <w:r w:rsidR="00245FA6">
        <w:rPr>
          <w:b/>
          <w:color w:val="auto"/>
        </w:rPr>
        <w:t xml:space="preserve"> </w:t>
      </w:r>
      <w:r w:rsidR="00376016">
        <w:rPr>
          <w:b/>
          <w:color w:val="auto"/>
        </w:rPr>
        <w:t>July</w:t>
      </w:r>
      <w:r w:rsidR="00245FA6">
        <w:rPr>
          <w:b/>
          <w:color w:val="auto"/>
        </w:rPr>
        <w:t xml:space="preserve"> 2013 </w:t>
      </w:r>
    </w:p>
    <w:p w:rsidR="002A42F5" w:rsidRDefault="00D9022C" w:rsidP="00561427">
      <w:pPr>
        <w:pStyle w:val="Default"/>
        <w:spacing w:line="360" w:lineRule="auto"/>
        <w:jc w:val="right"/>
        <w:rPr>
          <w:b/>
          <w:color w:val="auto"/>
        </w:rPr>
      </w:pPr>
      <w:r w:rsidRPr="00561427">
        <w:rPr>
          <w:color w:val="auto"/>
        </w:rPr>
        <w:br w:type="page"/>
      </w:r>
      <w:r w:rsidR="002A42F5">
        <w:rPr>
          <w:b/>
          <w:color w:val="auto"/>
        </w:rPr>
        <w:lastRenderedPageBreak/>
        <w:t>Annex A</w:t>
      </w:r>
    </w:p>
    <w:p w:rsidR="002A42F5" w:rsidRPr="002A42F5" w:rsidRDefault="002A42F5" w:rsidP="00561427">
      <w:pPr>
        <w:pStyle w:val="Default"/>
        <w:spacing w:line="360" w:lineRule="auto"/>
        <w:jc w:val="right"/>
        <w:rPr>
          <w:b/>
          <w:color w:val="auto"/>
        </w:rPr>
      </w:pPr>
    </w:p>
    <w:p w:rsidR="002A42F5" w:rsidRDefault="002A42F5" w:rsidP="002A42F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Click on the link to download the European Regional Development Fund 2007-2013 travel and Expenses claim form</w:t>
      </w:r>
    </w:p>
    <w:p w:rsidR="002A42F5" w:rsidRDefault="002A42F5" w:rsidP="00561427">
      <w:pPr>
        <w:pStyle w:val="Default"/>
        <w:spacing w:line="360" w:lineRule="auto"/>
        <w:jc w:val="right"/>
        <w:rPr>
          <w:color w:val="auto"/>
        </w:rPr>
      </w:pPr>
    </w:p>
    <w:bookmarkStart w:id="1" w:name="_MON_1435998685"/>
    <w:bookmarkEnd w:id="1"/>
    <w:p w:rsidR="00D9022C" w:rsidRPr="00561427" w:rsidRDefault="002A42F5" w:rsidP="002A42F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object w:dxaOrig="1530" w:dyaOrig="1002">
          <v:shape id="_x0000_i1026" type="#_x0000_t75" style="width:76.5pt;height:50.25pt" o:ole="">
            <v:imagedata r:id="rId11" o:title=""/>
          </v:shape>
          <o:OLEObject Type="Embed" ProgID="Word.Document.12" ShapeID="_x0000_i1026" DrawAspect="Icon" ObjectID="_1437310573" r:id="rId12">
            <o:FieldCodes>\s</o:FieldCodes>
          </o:OLEObject>
        </w:object>
      </w:r>
    </w:p>
    <w:sectPr w:rsidR="00D9022C" w:rsidRPr="005614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F1" w:rsidRDefault="00723EF1">
      <w:r>
        <w:separator/>
      </w:r>
    </w:p>
  </w:endnote>
  <w:endnote w:type="continuationSeparator" w:id="0">
    <w:p w:rsidR="00723EF1" w:rsidRDefault="0072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F1" w:rsidRDefault="00723EF1">
      <w:r>
        <w:separator/>
      </w:r>
    </w:p>
  </w:footnote>
  <w:footnote w:type="continuationSeparator" w:id="0">
    <w:p w:rsidR="00723EF1" w:rsidRDefault="0072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26F"/>
    <w:multiLevelType w:val="hybridMultilevel"/>
    <w:tmpl w:val="F2DED69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512"/>
    <w:multiLevelType w:val="multilevel"/>
    <w:tmpl w:val="D84208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F2411E"/>
    <w:multiLevelType w:val="multilevel"/>
    <w:tmpl w:val="9F54C2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026F6B"/>
    <w:multiLevelType w:val="hybridMultilevel"/>
    <w:tmpl w:val="6E345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12AEF"/>
    <w:multiLevelType w:val="multilevel"/>
    <w:tmpl w:val="8090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431CBB"/>
    <w:multiLevelType w:val="multilevel"/>
    <w:tmpl w:val="84BEEA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402B8B"/>
    <w:multiLevelType w:val="multilevel"/>
    <w:tmpl w:val="77127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2B4EDF"/>
    <w:multiLevelType w:val="multilevel"/>
    <w:tmpl w:val="0FE4F9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232AD6"/>
    <w:multiLevelType w:val="hybridMultilevel"/>
    <w:tmpl w:val="A080EF82"/>
    <w:lvl w:ilvl="0" w:tplc="F9C6B6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D44C63"/>
    <w:multiLevelType w:val="multilevel"/>
    <w:tmpl w:val="849256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CA22E88"/>
    <w:multiLevelType w:val="hybridMultilevel"/>
    <w:tmpl w:val="B88EB6A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6E3"/>
    <w:rsid w:val="000660F9"/>
    <w:rsid w:val="00086155"/>
    <w:rsid w:val="000D5E55"/>
    <w:rsid w:val="000D722F"/>
    <w:rsid w:val="000E1A14"/>
    <w:rsid w:val="000F56C7"/>
    <w:rsid w:val="00110C9A"/>
    <w:rsid w:val="0012157E"/>
    <w:rsid w:val="00144282"/>
    <w:rsid w:val="00151EB2"/>
    <w:rsid w:val="00174264"/>
    <w:rsid w:val="001E394A"/>
    <w:rsid w:val="001F16F4"/>
    <w:rsid w:val="00245FA6"/>
    <w:rsid w:val="002522E3"/>
    <w:rsid w:val="00262E26"/>
    <w:rsid w:val="00270B58"/>
    <w:rsid w:val="002811B8"/>
    <w:rsid w:val="002920BB"/>
    <w:rsid w:val="002964FB"/>
    <w:rsid w:val="002A42F5"/>
    <w:rsid w:val="002E49A9"/>
    <w:rsid w:val="002F0CCC"/>
    <w:rsid w:val="002F289F"/>
    <w:rsid w:val="003040A5"/>
    <w:rsid w:val="00376016"/>
    <w:rsid w:val="003775F7"/>
    <w:rsid w:val="003C3117"/>
    <w:rsid w:val="00413299"/>
    <w:rsid w:val="004800DC"/>
    <w:rsid w:val="004A5FE5"/>
    <w:rsid w:val="004A700C"/>
    <w:rsid w:val="00531F82"/>
    <w:rsid w:val="00561427"/>
    <w:rsid w:val="00561F42"/>
    <w:rsid w:val="005822F6"/>
    <w:rsid w:val="005B177F"/>
    <w:rsid w:val="005E4762"/>
    <w:rsid w:val="006030F0"/>
    <w:rsid w:val="0060465D"/>
    <w:rsid w:val="00610DA4"/>
    <w:rsid w:val="00624DA8"/>
    <w:rsid w:val="00632867"/>
    <w:rsid w:val="006667C7"/>
    <w:rsid w:val="0066693B"/>
    <w:rsid w:val="00683B95"/>
    <w:rsid w:val="00693BB9"/>
    <w:rsid w:val="006C620C"/>
    <w:rsid w:val="006D256C"/>
    <w:rsid w:val="006D2EDD"/>
    <w:rsid w:val="006F7B73"/>
    <w:rsid w:val="00723EF1"/>
    <w:rsid w:val="007300A0"/>
    <w:rsid w:val="00732788"/>
    <w:rsid w:val="00755537"/>
    <w:rsid w:val="0078015C"/>
    <w:rsid w:val="007820D1"/>
    <w:rsid w:val="007C0AE0"/>
    <w:rsid w:val="007E6CAB"/>
    <w:rsid w:val="008A3C79"/>
    <w:rsid w:val="008C22A8"/>
    <w:rsid w:val="008D34F4"/>
    <w:rsid w:val="008F1D7B"/>
    <w:rsid w:val="009323F9"/>
    <w:rsid w:val="009626CF"/>
    <w:rsid w:val="00981F3D"/>
    <w:rsid w:val="0098409F"/>
    <w:rsid w:val="0099207C"/>
    <w:rsid w:val="009C276F"/>
    <w:rsid w:val="00A14106"/>
    <w:rsid w:val="00A82626"/>
    <w:rsid w:val="00A93D6E"/>
    <w:rsid w:val="00B12FF7"/>
    <w:rsid w:val="00B37271"/>
    <w:rsid w:val="00BA4962"/>
    <w:rsid w:val="00BD1B45"/>
    <w:rsid w:val="00BD3983"/>
    <w:rsid w:val="00C6061A"/>
    <w:rsid w:val="00C83CC3"/>
    <w:rsid w:val="00CA5046"/>
    <w:rsid w:val="00CA7B71"/>
    <w:rsid w:val="00CD53BF"/>
    <w:rsid w:val="00D2256D"/>
    <w:rsid w:val="00D2429C"/>
    <w:rsid w:val="00D52591"/>
    <w:rsid w:val="00D9022C"/>
    <w:rsid w:val="00DA403A"/>
    <w:rsid w:val="00E26286"/>
    <w:rsid w:val="00EF547A"/>
    <w:rsid w:val="00F40666"/>
    <w:rsid w:val="00F60941"/>
    <w:rsid w:val="00F844A6"/>
    <w:rsid w:val="00FB06E3"/>
    <w:rsid w:val="00FB63EC"/>
    <w:rsid w:val="00FD4109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B0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B06E3"/>
    <w:rPr>
      <w:color w:val="0000FF"/>
      <w:u w:val="single"/>
    </w:rPr>
  </w:style>
  <w:style w:type="paragraph" w:styleId="Header">
    <w:name w:val="header"/>
    <w:basedOn w:val="Normal"/>
    <w:rsid w:val="00B372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7271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174264"/>
    <w:rPr>
      <w:color w:val="800080"/>
      <w:u w:val="single"/>
    </w:rPr>
  </w:style>
  <w:style w:type="paragraph" w:styleId="BalloonText">
    <w:name w:val="Balloon Text"/>
    <w:basedOn w:val="Normal"/>
    <w:semiHidden/>
    <w:rsid w:val="009920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F7B73"/>
    <w:rPr>
      <w:b/>
      <w:bCs/>
    </w:rPr>
  </w:style>
  <w:style w:type="table" w:styleId="TableGrid">
    <w:name w:val="Table Grid"/>
    <w:basedOn w:val="TableNormal"/>
    <w:rsid w:val="00D9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0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765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540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4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517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364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5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732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750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7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922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17452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4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62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1641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0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679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853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34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ompni.gov.uk/resources/guidance/dfp-guidance-note-5-eligibility-of-expenditure-last-updated-jun-2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dfpni.gov.uk/9.09_overseas_subsistence_allowan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pni.gov.uk/9.13_subsistence_allowan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N.I.C.S</Company>
  <LinksUpToDate>false</LinksUpToDate>
  <CharactersWithSpaces>6386</CharactersWithSpaces>
  <SharedDoc>false</SharedDoc>
  <HLinks>
    <vt:vector size="18" baseType="variant"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http://www.dfpni.gov.uk/9.09_overseas_subsistence_allowances.pdf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http://www.dfpni.gov.uk/9.13_subsistence_allowances.pdf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http://www.eucompni.gov.uk/resources/guidance/dfp-guidance-note-5-eligibility-of-expenditure-last-updated-jun-2011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Caves</dc:creator>
  <cp:lastModifiedBy>Claire Simpson</cp:lastModifiedBy>
  <cp:revision>2</cp:revision>
  <cp:lastPrinted>2013-06-18T08:57:00Z</cp:lastPrinted>
  <dcterms:created xsi:type="dcterms:W3CDTF">2013-08-06T15:10:00Z</dcterms:created>
  <dcterms:modified xsi:type="dcterms:W3CDTF">2013-08-06T15:10:00Z</dcterms:modified>
</cp:coreProperties>
</file>