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264" w:rsidRPr="00561427" w:rsidRDefault="00AD242F" w:rsidP="00561427">
      <w:pPr>
        <w:autoSpaceDE w:val="0"/>
        <w:autoSpaceDN w:val="0"/>
        <w:adjustRightInd w:val="0"/>
        <w:spacing w:line="360" w:lineRule="auto"/>
        <w:jc w:val="center"/>
        <w:rPr>
          <w:rFonts w:ascii="Arial" w:hAnsi="Arial" w:cs="Arial"/>
          <w:b/>
          <w:bCs/>
        </w:rPr>
      </w:pPr>
      <w:r w:rsidRPr="00AD242F">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82.5pt">
            <v:imagedata r:id="rId7" o:title=""/>
          </v:shape>
        </w:pict>
      </w:r>
    </w:p>
    <w:p w:rsidR="00174264" w:rsidRPr="00561427" w:rsidRDefault="00174264" w:rsidP="00561427">
      <w:pPr>
        <w:autoSpaceDE w:val="0"/>
        <w:autoSpaceDN w:val="0"/>
        <w:adjustRightInd w:val="0"/>
        <w:spacing w:line="360" w:lineRule="auto"/>
        <w:jc w:val="center"/>
        <w:rPr>
          <w:rFonts w:ascii="Arial" w:hAnsi="Arial" w:cs="Arial"/>
          <w:b/>
          <w:bCs/>
        </w:rPr>
      </w:pPr>
    </w:p>
    <w:p w:rsidR="00D2429C" w:rsidRPr="00561427" w:rsidRDefault="00FB06E3" w:rsidP="00561427">
      <w:pPr>
        <w:autoSpaceDE w:val="0"/>
        <w:autoSpaceDN w:val="0"/>
        <w:adjustRightInd w:val="0"/>
        <w:spacing w:line="360" w:lineRule="auto"/>
        <w:jc w:val="center"/>
        <w:rPr>
          <w:rFonts w:ascii="Arial" w:hAnsi="Arial" w:cs="Arial"/>
          <w:b/>
          <w:bCs/>
        </w:rPr>
      </w:pPr>
      <w:r w:rsidRPr="00561427">
        <w:rPr>
          <w:rFonts w:ascii="Arial" w:hAnsi="Arial" w:cs="Arial"/>
          <w:b/>
          <w:bCs/>
        </w:rPr>
        <w:t>THE EUROPEAN SUSTAINABLE COMPETITIVENESS PROGRAMME</w:t>
      </w:r>
      <w:r w:rsidR="00D2429C" w:rsidRPr="00561427">
        <w:rPr>
          <w:rFonts w:ascii="Arial" w:hAnsi="Arial" w:cs="Arial"/>
          <w:b/>
          <w:bCs/>
        </w:rPr>
        <w:t xml:space="preserve"> </w:t>
      </w:r>
    </w:p>
    <w:p w:rsidR="00FB06E3" w:rsidRPr="00561427" w:rsidRDefault="00FB06E3" w:rsidP="00561427">
      <w:pPr>
        <w:autoSpaceDE w:val="0"/>
        <w:autoSpaceDN w:val="0"/>
        <w:adjustRightInd w:val="0"/>
        <w:spacing w:line="360" w:lineRule="auto"/>
        <w:jc w:val="center"/>
        <w:rPr>
          <w:rFonts w:ascii="Arial" w:hAnsi="Arial" w:cs="Arial"/>
          <w:b/>
          <w:bCs/>
        </w:rPr>
      </w:pPr>
      <w:r w:rsidRPr="00561427">
        <w:rPr>
          <w:rFonts w:ascii="Arial" w:hAnsi="Arial" w:cs="Arial"/>
          <w:b/>
          <w:bCs/>
        </w:rPr>
        <w:t>FOR NORTHERN IRELAND 2007-2013</w:t>
      </w:r>
    </w:p>
    <w:p w:rsidR="00D2429C" w:rsidRPr="00561427" w:rsidRDefault="00D2429C" w:rsidP="00561427">
      <w:pPr>
        <w:autoSpaceDE w:val="0"/>
        <w:autoSpaceDN w:val="0"/>
        <w:adjustRightInd w:val="0"/>
        <w:spacing w:line="360" w:lineRule="auto"/>
        <w:jc w:val="center"/>
        <w:rPr>
          <w:rFonts w:ascii="Arial" w:hAnsi="Arial" w:cs="Arial"/>
          <w:b/>
          <w:bCs/>
        </w:rPr>
      </w:pPr>
    </w:p>
    <w:p w:rsidR="00FB06E3" w:rsidRPr="00561427" w:rsidRDefault="00FB06E3" w:rsidP="00561427">
      <w:pPr>
        <w:autoSpaceDE w:val="0"/>
        <w:autoSpaceDN w:val="0"/>
        <w:adjustRightInd w:val="0"/>
        <w:spacing w:line="360" w:lineRule="auto"/>
        <w:jc w:val="center"/>
        <w:rPr>
          <w:rFonts w:ascii="Arial" w:hAnsi="Arial" w:cs="Arial"/>
          <w:b/>
          <w:bCs/>
        </w:rPr>
      </w:pPr>
      <w:r w:rsidRPr="00561427">
        <w:rPr>
          <w:rFonts w:ascii="Arial" w:hAnsi="Arial" w:cs="Arial"/>
          <w:b/>
          <w:bCs/>
        </w:rPr>
        <w:t>MANAGING AUTHORITY GUIDANCE</w:t>
      </w:r>
    </w:p>
    <w:p w:rsidR="00D2429C" w:rsidRPr="00561427" w:rsidRDefault="00D2429C" w:rsidP="00561427">
      <w:pPr>
        <w:autoSpaceDE w:val="0"/>
        <w:autoSpaceDN w:val="0"/>
        <w:adjustRightInd w:val="0"/>
        <w:spacing w:line="360" w:lineRule="auto"/>
        <w:jc w:val="center"/>
        <w:rPr>
          <w:rFonts w:ascii="Arial" w:hAnsi="Arial" w:cs="Arial"/>
          <w:b/>
          <w:bCs/>
        </w:rPr>
      </w:pPr>
    </w:p>
    <w:p w:rsidR="00FB06E3" w:rsidRPr="00561427" w:rsidRDefault="008E6CC4" w:rsidP="00561427">
      <w:pPr>
        <w:autoSpaceDE w:val="0"/>
        <w:autoSpaceDN w:val="0"/>
        <w:adjustRightInd w:val="0"/>
        <w:spacing w:line="360" w:lineRule="auto"/>
        <w:jc w:val="center"/>
        <w:rPr>
          <w:rFonts w:ascii="Arial" w:hAnsi="Arial" w:cs="Arial"/>
          <w:b/>
          <w:bCs/>
        </w:rPr>
      </w:pPr>
      <w:r>
        <w:rPr>
          <w:rFonts w:ascii="Arial" w:hAnsi="Arial" w:cs="Arial"/>
          <w:b/>
          <w:bCs/>
        </w:rPr>
        <w:t>CAPITAL RETENTION AND RETENTION BONDS</w:t>
      </w:r>
    </w:p>
    <w:p w:rsidR="005E4762" w:rsidRPr="00561427" w:rsidRDefault="005E4762" w:rsidP="00561427">
      <w:pPr>
        <w:autoSpaceDE w:val="0"/>
        <w:autoSpaceDN w:val="0"/>
        <w:adjustRightInd w:val="0"/>
        <w:spacing w:line="360" w:lineRule="auto"/>
        <w:rPr>
          <w:rFonts w:ascii="Arial" w:hAnsi="Arial" w:cs="Arial"/>
          <w:b/>
          <w:bCs/>
        </w:rPr>
      </w:pPr>
    </w:p>
    <w:p w:rsidR="008E6CC4" w:rsidRDefault="008E6CC4" w:rsidP="00956F26">
      <w:pPr>
        <w:numPr>
          <w:ilvl w:val="0"/>
          <w:numId w:val="14"/>
        </w:numPr>
        <w:autoSpaceDE w:val="0"/>
        <w:autoSpaceDN w:val="0"/>
        <w:adjustRightInd w:val="0"/>
        <w:spacing w:line="276" w:lineRule="auto"/>
        <w:ind w:left="0" w:hanging="710"/>
        <w:jc w:val="both"/>
        <w:rPr>
          <w:rFonts w:ascii="Helvetica" w:hAnsi="Helvetica" w:cs="Helvetica"/>
        </w:rPr>
      </w:pPr>
      <w:r>
        <w:rPr>
          <w:rFonts w:ascii="Helvetica" w:hAnsi="Helvetica" w:cs="Helvetica"/>
        </w:rPr>
        <w:t xml:space="preserve">The following guidance on the treatment of capital retention and retention bonds is provided by Managing Authority and should be read in conjunction with </w:t>
      </w:r>
      <w:r w:rsidR="00111046">
        <w:rPr>
          <w:rFonts w:ascii="Helvetica" w:hAnsi="Helvetica" w:cs="Helvetica"/>
        </w:rPr>
        <w:t xml:space="preserve">CPD </w:t>
      </w:r>
      <w:r w:rsidR="00956F26">
        <w:rPr>
          <w:rFonts w:ascii="Helvetica" w:hAnsi="Helvetica" w:cs="Helvetica"/>
        </w:rPr>
        <w:t>rules on procurement. This guidance</w:t>
      </w:r>
      <w:r w:rsidR="00956F26" w:rsidRPr="00B568A0">
        <w:rPr>
          <w:rFonts w:ascii="Arial" w:hAnsi="Arial" w:cs="Arial"/>
          <w:bCs/>
        </w:rPr>
        <w:t xml:space="preserve"> supplements DFP Guidance Note 5 (Northern Ireland Rules on the Eligibility of Expenditure).</w:t>
      </w:r>
    </w:p>
    <w:p w:rsidR="00590BCD" w:rsidRDefault="00590BCD" w:rsidP="00956F26">
      <w:pPr>
        <w:autoSpaceDE w:val="0"/>
        <w:autoSpaceDN w:val="0"/>
        <w:adjustRightInd w:val="0"/>
        <w:spacing w:line="276" w:lineRule="auto"/>
        <w:ind w:left="426" w:hanging="720"/>
        <w:jc w:val="both"/>
        <w:rPr>
          <w:rFonts w:ascii="Helvetica" w:hAnsi="Helvetica" w:cs="Helvetica"/>
        </w:rPr>
      </w:pPr>
    </w:p>
    <w:p w:rsidR="009A475F" w:rsidRDefault="009A475F" w:rsidP="00956F26">
      <w:pPr>
        <w:numPr>
          <w:ilvl w:val="0"/>
          <w:numId w:val="14"/>
        </w:numPr>
        <w:autoSpaceDE w:val="0"/>
        <w:autoSpaceDN w:val="0"/>
        <w:adjustRightInd w:val="0"/>
        <w:spacing w:line="276" w:lineRule="auto"/>
        <w:ind w:left="0" w:hanging="720"/>
        <w:jc w:val="both"/>
        <w:rPr>
          <w:rFonts w:ascii="Helvetica" w:hAnsi="Helvetica" w:cs="Helvetica"/>
        </w:rPr>
      </w:pPr>
      <w:r>
        <w:rPr>
          <w:rFonts w:ascii="Helvetica" w:hAnsi="Helvetica" w:cs="Helvetica"/>
        </w:rPr>
        <w:t>Capital projects typically include a retention period at the end of a project to compensate for any deductions associated with snagging issues. Retentions</w:t>
      </w:r>
      <w:r w:rsidR="00590BCD">
        <w:rPr>
          <w:rFonts w:ascii="Helvetica" w:hAnsi="Helvetica" w:cs="Helvetica"/>
        </w:rPr>
        <w:t>,</w:t>
      </w:r>
      <w:r>
        <w:rPr>
          <w:rFonts w:ascii="Helvetica" w:hAnsi="Helvetica" w:cs="Helvetica"/>
        </w:rPr>
        <w:t xml:space="preserve"> held in accordance with a procured/tendered contract, can be considered eligible if paid within the eligible expenditure period of the Programme, i.e.  </w:t>
      </w:r>
      <w:proofErr w:type="gramStart"/>
      <w:r>
        <w:rPr>
          <w:rFonts w:ascii="Helvetica" w:hAnsi="Helvetica" w:cs="Helvetica"/>
        </w:rPr>
        <w:t>by</w:t>
      </w:r>
      <w:proofErr w:type="gramEnd"/>
      <w:r>
        <w:rPr>
          <w:rFonts w:ascii="Helvetica" w:hAnsi="Helvetica" w:cs="Helvetica"/>
        </w:rPr>
        <w:t xml:space="preserve"> 31 December 2015. Any payments made after 31 December 2015 are ineligible for reimbursement from the Programme. </w:t>
      </w:r>
    </w:p>
    <w:p w:rsidR="007628C6" w:rsidRDefault="007628C6" w:rsidP="00956F26">
      <w:pPr>
        <w:autoSpaceDE w:val="0"/>
        <w:autoSpaceDN w:val="0"/>
        <w:adjustRightInd w:val="0"/>
        <w:spacing w:line="276" w:lineRule="auto"/>
        <w:ind w:left="426" w:hanging="720"/>
        <w:jc w:val="both"/>
        <w:rPr>
          <w:rFonts w:ascii="Helvetica" w:hAnsi="Helvetica" w:cs="Helvetica"/>
        </w:rPr>
      </w:pPr>
    </w:p>
    <w:p w:rsidR="009A475F" w:rsidRDefault="009A475F" w:rsidP="00956F26">
      <w:pPr>
        <w:numPr>
          <w:ilvl w:val="0"/>
          <w:numId w:val="14"/>
        </w:numPr>
        <w:autoSpaceDE w:val="0"/>
        <w:autoSpaceDN w:val="0"/>
        <w:adjustRightInd w:val="0"/>
        <w:spacing w:line="276" w:lineRule="auto"/>
        <w:ind w:left="0" w:hanging="709"/>
        <w:jc w:val="both"/>
        <w:rPr>
          <w:rFonts w:ascii="Helvetica" w:hAnsi="Helvetica" w:cs="Helvetica"/>
        </w:rPr>
      </w:pPr>
      <w:r>
        <w:rPr>
          <w:rFonts w:ascii="Helvetica" w:hAnsi="Helvetica" w:cs="Helvetica"/>
        </w:rPr>
        <w:t>Where the timing of the final (retained) payment has the potential to fall outside the eligibility period, a retention bond may be procured to cover the risk of snagging costs.</w:t>
      </w:r>
    </w:p>
    <w:p w:rsidR="009A475F" w:rsidRDefault="009A475F" w:rsidP="00956F26">
      <w:pPr>
        <w:autoSpaceDE w:val="0"/>
        <w:autoSpaceDN w:val="0"/>
        <w:adjustRightInd w:val="0"/>
        <w:spacing w:line="276" w:lineRule="auto"/>
        <w:ind w:left="426" w:hanging="720"/>
        <w:jc w:val="both"/>
        <w:rPr>
          <w:rFonts w:ascii="Helvetica" w:hAnsi="Helvetica" w:cs="Helvetica"/>
        </w:rPr>
      </w:pPr>
    </w:p>
    <w:p w:rsidR="009A475F" w:rsidRDefault="009A475F" w:rsidP="00956F26">
      <w:pPr>
        <w:numPr>
          <w:ilvl w:val="0"/>
          <w:numId w:val="14"/>
        </w:numPr>
        <w:autoSpaceDE w:val="0"/>
        <w:autoSpaceDN w:val="0"/>
        <w:adjustRightInd w:val="0"/>
        <w:spacing w:line="276" w:lineRule="auto"/>
        <w:ind w:left="0" w:hanging="720"/>
        <w:jc w:val="both"/>
        <w:rPr>
          <w:rFonts w:ascii="Helvetica" w:hAnsi="Helvetica" w:cs="Helvetica"/>
        </w:rPr>
      </w:pPr>
      <w:r>
        <w:rPr>
          <w:rFonts w:ascii="Helvetica" w:hAnsi="Helvetica" w:cs="Helvetica"/>
        </w:rPr>
        <w:t xml:space="preserve">Where a bond is procured there is no need for capital retention as the bond will cover the risk. </w:t>
      </w:r>
    </w:p>
    <w:p w:rsidR="009A475F" w:rsidRDefault="009A475F" w:rsidP="00956F26">
      <w:pPr>
        <w:autoSpaceDE w:val="0"/>
        <w:autoSpaceDN w:val="0"/>
        <w:adjustRightInd w:val="0"/>
        <w:spacing w:line="276" w:lineRule="auto"/>
        <w:ind w:left="426" w:hanging="720"/>
        <w:jc w:val="both"/>
        <w:rPr>
          <w:rFonts w:ascii="Helvetica" w:hAnsi="Helvetica" w:cs="Helvetica"/>
        </w:rPr>
      </w:pPr>
    </w:p>
    <w:p w:rsidR="00590BCD" w:rsidRDefault="00035AC9" w:rsidP="00956F26">
      <w:pPr>
        <w:numPr>
          <w:ilvl w:val="0"/>
          <w:numId w:val="14"/>
        </w:numPr>
        <w:autoSpaceDE w:val="0"/>
        <w:autoSpaceDN w:val="0"/>
        <w:adjustRightInd w:val="0"/>
        <w:spacing w:line="276" w:lineRule="auto"/>
        <w:ind w:left="0" w:hanging="709"/>
        <w:jc w:val="both"/>
        <w:rPr>
          <w:rFonts w:ascii="Helvetica" w:hAnsi="Helvetica" w:cs="Helvetica"/>
        </w:rPr>
      </w:pPr>
      <w:r>
        <w:rPr>
          <w:rFonts w:ascii="Helvetica" w:hAnsi="Helvetica" w:cs="Helvetica"/>
        </w:rPr>
        <w:t>T</w:t>
      </w:r>
      <w:r w:rsidR="009A475F">
        <w:rPr>
          <w:rFonts w:ascii="Helvetica" w:hAnsi="Helvetica" w:cs="Helvetica"/>
        </w:rPr>
        <w:t xml:space="preserve">he tender documents and project specification should contain a requirement for the </w:t>
      </w:r>
      <w:r w:rsidR="00590BCD">
        <w:rPr>
          <w:rFonts w:ascii="Helvetica" w:hAnsi="Helvetica" w:cs="Helvetica"/>
        </w:rPr>
        <w:t>contractor</w:t>
      </w:r>
      <w:r w:rsidR="009A475F">
        <w:rPr>
          <w:rFonts w:ascii="Helvetica" w:hAnsi="Helvetica" w:cs="Helvetica"/>
        </w:rPr>
        <w:t xml:space="preserve"> to purchase a bond, which will provide recourse for the procurer in the event that works are not completed satisfactorily. </w:t>
      </w:r>
      <w:r>
        <w:rPr>
          <w:rFonts w:ascii="Helvetica" w:hAnsi="Helvetica" w:cs="Helvetica"/>
        </w:rPr>
        <w:t>This will then form an integral part and cost of the tendered service.</w:t>
      </w:r>
    </w:p>
    <w:p w:rsidR="00590BCD" w:rsidRDefault="00590BCD" w:rsidP="00956F26">
      <w:pPr>
        <w:autoSpaceDE w:val="0"/>
        <w:autoSpaceDN w:val="0"/>
        <w:adjustRightInd w:val="0"/>
        <w:spacing w:line="276" w:lineRule="auto"/>
        <w:ind w:left="426" w:hanging="720"/>
        <w:jc w:val="both"/>
        <w:rPr>
          <w:rFonts w:ascii="Helvetica" w:hAnsi="Helvetica" w:cs="Helvetica"/>
        </w:rPr>
      </w:pPr>
    </w:p>
    <w:p w:rsidR="009A475F" w:rsidRDefault="00035AC9" w:rsidP="00956F26">
      <w:pPr>
        <w:numPr>
          <w:ilvl w:val="0"/>
          <w:numId w:val="14"/>
        </w:numPr>
        <w:autoSpaceDE w:val="0"/>
        <w:autoSpaceDN w:val="0"/>
        <w:adjustRightInd w:val="0"/>
        <w:spacing w:line="276" w:lineRule="auto"/>
        <w:ind w:left="0" w:hanging="709"/>
        <w:jc w:val="both"/>
        <w:rPr>
          <w:rFonts w:ascii="Helvetica" w:hAnsi="Helvetica" w:cs="Helvetica"/>
        </w:rPr>
      </w:pPr>
      <w:r>
        <w:rPr>
          <w:rFonts w:ascii="Helvetica" w:hAnsi="Helvetica" w:cs="Helvetica"/>
        </w:rPr>
        <w:t>Where a tender exercise has already been conducted and a bond option is brought in retrospectively, t</w:t>
      </w:r>
      <w:r w:rsidR="009A475F">
        <w:rPr>
          <w:rFonts w:ascii="Helvetica" w:hAnsi="Helvetica" w:cs="Helvetica"/>
        </w:rPr>
        <w:t xml:space="preserve">he </w:t>
      </w:r>
      <w:r>
        <w:rPr>
          <w:rFonts w:ascii="Helvetica" w:hAnsi="Helvetica" w:cs="Helvetica"/>
        </w:rPr>
        <w:t xml:space="preserve">additional </w:t>
      </w:r>
      <w:r w:rsidR="009A475F">
        <w:rPr>
          <w:rFonts w:ascii="Helvetica" w:hAnsi="Helvetica" w:cs="Helvetica"/>
        </w:rPr>
        <w:t xml:space="preserve">cost of the </w:t>
      </w:r>
      <w:r w:rsidR="009A475F" w:rsidRPr="00956F26">
        <w:rPr>
          <w:rFonts w:ascii="Helvetica" w:hAnsi="Helvetica" w:cs="Helvetica"/>
          <w:b/>
        </w:rPr>
        <w:t>retention bond itself is not eligible expenditure</w:t>
      </w:r>
      <w:r w:rsidR="009A475F">
        <w:rPr>
          <w:rFonts w:ascii="Helvetica" w:hAnsi="Helvetica" w:cs="Helvetica"/>
        </w:rPr>
        <w:t xml:space="preserve"> within the Sustainable Competitiveness Programme. However, </w:t>
      </w:r>
      <w:r w:rsidR="007628C6">
        <w:rPr>
          <w:rFonts w:ascii="Helvetica" w:hAnsi="Helvetica" w:cs="Helvetica"/>
        </w:rPr>
        <w:t>the benefit of acq</w:t>
      </w:r>
      <w:r w:rsidR="00956F26">
        <w:rPr>
          <w:rFonts w:ascii="Helvetica" w:hAnsi="Helvetica" w:cs="Helvetica"/>
        </w:rPr>
        <w:t>uiring a r</w:t>
      </w:r>
      <w:r w:rsidR="00590BCD">
        <w:rPr>
          <w:rFonts w:ascii="Helvetica" w:hAnsi="Helvetica" w:cs="Helvetica"/>
        </w:rPr>
        <w:t xml:space="preserve">etention </w:t>
      </w:r>
      <w:r w:rsidR="00956F26">
        <w:rPr>
          <w:rFonts w:ascii="Helvetica" w:hAnsi="Helvetica" w:cs="Helvetica"/>
        </w:rPr>
        <w:t>b</w:t>
      </w:r>
      <w:r w:rsidR="00590BCD">
        <w:rPr>
          <w:rFonts w:ascii="Helvetica" w:hAnsi="Helvetica" w:cs="Helvetica"/>
        </w:rPr>
        <w:t xml:space="preserve">ond is that a capital retention clause is not required in the contract, the full costs of the capital works can be considered eligible and the risk is mitigated of payments falling outside the Programme eligibility period. </w:t>
      </w:r>
    </w:p>
    <w:p w:rsidR="00590BCD" w:rsidRDefault="00590BCD" w:rsidP="00956F26">
      <w:pPr>
        <w:autoSpaceDE w:val="0"/>
        <w:autoSpaceDN w:val="0"/>
        <w:adjustRightInd w:val="0"/>
        <w:spacing w:line="276" w:lineRule="auto"/>
        <w:ind w:left="426" w:hanging="720"/>
        <w:jc w:val="both"/>
        <w:rPr>
          <w:rFonts w:ascii="Helvetica" w:hAnsi="Helvetica" w:cs="Helvetica"/>
        </w:rPr>
      </w:pPr>
    </w:p>
    <w:p w:rsidR="00956F26" w:rsidRDefault="00590BCD" w:rsidP="00956F26">
      <w:pPr>
        <w:numPr>
          <w:ilvl w:val="0"/>
          <w:numId w:val="14"/>
        </w:numPr>
        <w:autoSpaceDE w:val="0"/>
        <w:autoSpaceDN w:val="0"/>
        <w:adjustRightInd w:val="0"/>
        <w:spacing w:line="276" w:lineRule="auto"/>
        <w:ind w:left="0" w:hanging="709"/>
        <w:jc w:val="both"/>
        <w:rPr>
          <w:rFonts w:ascii="Helvetica" w:hAnsi="Helvetica" w:cs="Helvetica"/>
        </w:rPr>
      </w:pPr>
      <w:r>
        <w:rPr>
          <w:rFonts w:ascii="Helvetica" w:hAnsi="Helvetica" w:cs="Helvetica"/>
        </w:rPr>
        <w:t xml:space="preserve">Projects </w:t>
      </w:r>
      <w:r w:rsidR="00F656B8">
        <w:rPr>
          <w:rFonts w:ascii="Helvetica" w:hAnsi="Helvetica" w:cs="Helvetica"/>
        </w:rPr>
        <w:t>that</w:t>
      </w:r>
      <w:r>
        <w:rPr>
          <w:rFonts w:ascii="Helvetica" w:hAnsi="Helvetica" w:cs="Helvetica"/>
        </w:rPr>
        <w:t xml:space="preserve"> </w:t>
      </w:r>
      <w:proofErr w:type="gramStart"/>
      <w:r>
        <w:rPr>
          <w:rFonts w:ascii="Helvetica" w:hAnsi="Helvetica" w:cs="Helvetica"/>
        </w:rPr>
        <w:t>proceed</w:t>
      </w:r>
      <w:proofErr w:type="gramEnd"/>
      <w:r>
        <w:rPr>
          <w:rFonts w:ascii="Helvetica" w:hAnsi="Helvetica" w:cs="Helvetica"/>
        </w:rPr>
        <w:t xml:space="preserve"> using </w:t>
      </w:r>
      <w:r w:rsidR="00C56A0B">
        <w:rPr>
          <w:rFonts w:ascii="Helvetica" w:hAnsi="Helvetica" w:cs="Helvetica"/>
        </w:rPr>
        <w:t>r</w:t>
      </w:r>
      <w:r>
        <w:rPr>
          <w:rFonts w:ascii="Helvetica" w:hAnsi="Helvetica" w:cs="Helvetica"/>
        </w:rPr>
        <w:t xml:space="preserve">etention from the contractor as opposed to a retention bond </w:t>
      </w:r>
      <w:r w:rsidR="00956F26">
        <w:rPr>
          <w:rFonts w:ascii="Helvetica" w:hAnsi="Helvetica" w:cs="Helvetica"/>
        </w:rPr>
        <w:t>do so at</w:t>
      </w:r>
      <w:r>
        <w:rPr>
          <w:rFonts w:ascii="Helvetica" w:hAnsi="Helvetica" w:cs="Helvetica"/>
        </w:rPr>
        <w:t xml:space="preserve"> risk if there is a possibility that the final payment will fall outside the eligibility period. </w:t>
      </w:r>
    </w:p>
    <w:p w:rsidR="00956F26" w:rsidRDefault="00956F26" w:rsidP="00956F26">
      <w:pPr>
        <w:autoSpaceDE w:val="0"/>
        <w:autoSpaceDN w:val="0"/>
        <w:adjustRightInd w:val="0"/>
        <w:spacing w:line="276" w:lineRule="auto"/>
        <w:ind w:left="426" w:hanging="720"/>
        <w:jc w:val="both"/>
        <w:rPr>
          <w:rFonts w:ascii="Helvetica" w:hAnsi="Helvetica" w:cs="Helvetica"/>
        </w:rPr>
      </w:pPr>
    </w:p>
    <w:p w:rsidR="00D9022C" w:rsidRDefault="00590BCD" w:rsidP="00956F26">
      <w:pPr>
        <w:numPr>
          <w:ilvl w:val="0"/>
          <w:numId w:val="14"/>
        </w:numPr>
        <w:autoSpaceDE w:val="0"/>
        <w:autoSpaceDN w:val="0"/>
        <w:adjustRightInd w:val="0"/>
        <w:spacing w:line="276" w:lineRule="auto"/>
        <w:ind w:left="0" w:hanging="709"/>
        <w:jc w:val="both"/>
      </w:pPr>
      <w:r>
        <w:rPr>
          <w:rFonts w:ascii="Helvetica" w:hAnsi="Helvetica" w:cs="Helvetica"/>
        </w:rPr>
        <w:t>It is highly recommended to include the requirement for the contractor to procure a retention bond as part of the contract in order to mitigate the risk of payme</w:t>
      </w:r>
      <w:r w:rsidR="00956F26">
        <w:rPr>
          <w:rFonts w:ascii="Helvetica" w:hAnsi="Helvetica" w:cs="Helvetica"/>
        </w:rPr>
        <w:t>nts being considered ineligible due to the eligibility period.</w:t>
      </w:r>
      <w:r w:rsidR="00956F26" w:rsidRPr="00561427">
        <w:t xml:space="preserve"> </w:t>
      </w:r>
    </w:p>
    <w:p w:rsidR="00911C86" w:rsidRDefault="00911C86" w:rsidP="00911C86">
      <w:pPr>
        <w:pStyle w:val="ListParagrap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Default="00911C86" w:rsidP="00911C86">
      <w:pPr>
        <w:autoSpaceDE w:val="0"/>
        <w:autoSpaceDN w:val="0"/>
        <w:adjustRightInd w:val="0"/>
        <w:spacing w:line="276" w:lineRule="auto"/>
        <w:jc w:val="both"/>
      </w:pPr>
    </w:p>
    <w:p w:rsidR="00911C86" w:rsidRPr="00911C86" w:rsidRDefault="00911C86" w:rsidP="00911C86">
      <w:pPr>
        <w:autoSpaceDE w:val="0"/>
        <w:autoSpaceDN w:val="0"/>
        <w:adjustRightInd w:val="0"/>
        <w:spacing w:line="276" w:lineRule="auto"/>
        <w:jc w:val="right"/>
        <w:rPr>
          <w:rFonts w:ascii="Arial" w:hAnsi="Arial" w:cs="Arial"/>
        </w:rPr>
      </w:pPr>
      <w:r w:rsidRPr="00911C86">
        <w:rPr>
          <w:rFonts w:ascii="Arial" w:hAnsi="Arial" w:cs="Arial"/>
        </w:rPr>
        <w:t>July 2013</w:t>
      </w:r>
    </w:p>
    <w:sectPr w:rsidR="00911C86" w:rsidRPr="00911C86" w:rsidSect="003C33FA">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E61" w:rsidRDefault="00C43E61">
      <w:r>
        <w:separator/>
      </w:r>
    </w:p>
  </w:endnote>
  <w:endnote w:type="continuationSeparator" w:id="0">
    <w:p w:rsidR="00C43E61" w:rsidRDefault="00C43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C86" w:rsidRDefault="00AD242F">
    <w:pPr>
      <w:pStyle w:val="Footer"/>
      <w:jc w:val="center"/>
    </w:pPr>
    <w:fldSimple w:instr=" PAGE   \* MERGEFORMAT ">
      <w:r w:rsidR="005E6AC0">
        <w:rPr>
          <w:noProof/>
        </w:rPr>
        <w:t>1</w:t>
      </w:r>
    </w:fldSimple>
    <w:r w:rsidR="00911C86">
      <w:t xml:space="preserve"> </w:t>
    </w:r>
  </w:p>
  <w:p w:rsidR="00911C86" w:rsidRDefault="00911C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E61" w:rsidRDefault="00C43E61">
      <w:r>
        <w:separator/>
      </w:r>
    </w:p>
  </w:footnote>
  <w:footnote w:type="continuationSeparator" w:id="0">
    <w:p w:rsidR="00C43E61" w:rsidRDefault="00C43E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626F"/>
    <w:multiLevelType w:val="hybridMultilevel"/>
    <w:tmpl w:val="F2DED69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03512"/>
    <w:multiLevelType w:val="multilevel"/>
    <w:tmpl w:val="D84208E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8F2411E"/>
    <w:multiLevelType w:val="multilevel"/>
    <w:tmpl w:val="9F54C246"/>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EC51092"/>
    <w:multiLevelType w:val="multilevel"/>
    <w:tmpl w:val="B77EDFA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nsid w:val="22026F6B"/>
    <w:multiLevelType w:val="hybridMultilevel"/>
    <w:tmpl w:val="6E345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212AEF"/>
    <w:multiLevelType w:val="multilevel"/>
    <w:tmpl w:val="80908D16"/>
    <w:lvl w:ilvl="0">
      <w:start w:val="1"/>
      <w:numFmt w:val="decimal"/>
      <w:lvlText w:val="%1."/>
      <w:lvlJc w:val="left"/>
      <w:pPr>
        <w:tabs>
          <w:tab w:val="num" w:pos="720"/>
        </w:tabs>
        <w:ind w:left="720" w:hanging="720"/>
      </w:pPr>
      <w:rPr>
        <w:rFonts w:ascii="Arial" w:eastAsia="Times New Roman" w:hAnsi="Arial" w:cs="Arial"/>
      </w:rPr>
    </w:lvl>
    <w:lvl w:ilvl="1">
      <w:start w:val="1"/>
      <w:numFmt w:val="decimal"/>
      <w:lvlText w:val="%1.%2"/>
      <w:lvlJc w:val="left"/>
      <w:pPr>
        <w:tabs>
          <w:tab w:val="num" w:pos="862"/>
        </w:tabs>
        <w:ind w:left="862"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AD370A6"/>
    <w:multiLevelType w:val="hybridMultilevel"/>
    <w:tmpl w:val="D1C04C9A"/>
    <w:lvl w:ilvl="0" w:tplc="9078BEB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431CBB"/>
    <w:multiLevelType w:val="multilevel"/>
    <w:tmpl w:val="84BEEAA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37E7EDE"/>
    <w:multiLevelType w:val="hybridMultilevel"/>
    <w:tmpl w:val="B06E1CA0"/>
    <w:lvl w:ilvl="0" w:tplc="9078BEB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402B8B"/>
    <w:multiLevelType w:val="multilevel"/>
    <w:tmpl w:val="7712750C"/>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42B4EDF"/>
    <w:multiLevelType w:val="multilevel"/>
    <w:tmpl w:val="0FE4F984"/>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7232AD6"/>
    <w:multiLevelType w:val="hybridMultilevel"/>
    <w:tmpl w:val="A080EF82"/>
    <w:lvl w:ilvl="0" w:tplc="F9C6B686">
      <w:start w:val="1"/>
      <w:numFmt w:val="lowerLetter"/>
      <w:lvlText w:val="%1."/>
      <w:lvlJc w:val="left"/>
      <w:pPr>
        <w:tabs>
          <w:tab w:val="num" w:pos="1080"/>
        </w:tabs>
        <w:ind w:left="1080" w:hanging="36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5AD44C63"/>
    <w:multiLevelType w:val="multilevel"/>
    <w:tmpl w:val="8492566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CA22E88"/>
    <w:multiLevelType w:val="hybridMultilevel"/>
    <w:tmpl w:val="B88EB6A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1"/>
  </w:num>
  <w:num w:numId="2">
    <w:abstractNumId w:val="5"/>
  </w:num>
  <w:num w:numId="3">
    <w:abstractNumId w:val="9"/>
  </w:num>
  <w:num w:numId="4">
    <w:abstractNumId w:val="7"/>
  </w:num>
  <w:num w:numId="5">
    <w:abstractNumId w:val="12"/>
  </w:num>
  <w:num w:numId="6">
    <w:abstractNumId w:val="2"/>
  </w:num>
  <w:num w:numId="7">
    <w:abstractNumId w:val="10"/>
  </w:num>
  <w:num w:numId="8">
    <w:abstractNumId w:val="13"/>
  </w:num>
  <w:num w:numId="9">
    <w:abstractNumId w:val="11"/>
  </w:num>
  <w:num w:numId="10">
    <w:abstractNumId w:val="4"/>
  </w:num>
  <w:num w:numId="11">
    <w:abstractNumId w:val="0"/>
  </w:num>
  <w:num w:numId="12">
    <w:abstractNumId w:val="3"/>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06E3"/>
    <w:rsid w:val="00035AC9"/>
    <w:rsid w:val="000660F9"/>
    <w:rsid w:val="00086155"/>
    <w:rsid w:val="000D5E55"/>
    <w:rsid w:val="000D722F"/>
    <w:rsid w:val="000E1A14"/>
    <w:rsid w:val="000F56C7"/>
    <w:rsid w:val="00110C9A"/>
    <w:rsid w:val="00111046"/>
    <w:rsid w:val="0012157E"/>
    <w:rsid w:val="00144282"/>
    <w:rsid w:val="00151EB2"/>
    <w:rsid w:val="00174264"/>
    <w:rsid w:val="001E394A"/>
    <w:rsid w:val="001F16F4"/>
    <w:rsid w:val="00245FA6"/>
    <w:rsid w:val="002522E3"/>
    <w:rsid w:val="00262E26"/>
    <w:rsid w:val="00270B58"/>
    <w:rsid w:val="002811B8"/>
    <w:rsid w:val="002920BB"/>
    <w:rsid w:val="002964FB"/>
    <w:rsid w:val="002A42F5"/>
    <w:rsid w:val="002E49A9"/>
    <w:rsid w:val="002F0CCC"/>
    <w:rsid w:val="002F289F"/>
    <w:rsid w:val="003040A5"/>
    <w:rsid w:val="00376016"/>
    <w:rsid w:val="003775F7"/>
    <w:rsid w:val="003C3117"/>
    <w:rsid w:val="003C33FA"/>
    <w:rsid w:val="003F0796"/>
    <w:rsid w:val="00413299"/>
    <w:rsid w:val="004800DC"/>
    <w:rsid w:val="004A5FE5"/>
    <w:rsid w:val="004A700C"/>
    <w:rsid w:val="00531F82"/>
    <w:rsid w:val="00561427"/>
    <w:rsid w:val="00561F42"/>
    <w:rsid w:val="005822F6"/>
    <w:rsid w:val="00590BCD"/>
    <w:rsid w:val="005B177F"/>
    <w:rsid w:val="005E4762"/>
    <w:rsid w:val="005E6AC0"/>
    <w:rsid w:val="006030F0"/>
    <w:rsid w:val="0060465D"/>
    <w:rsid w:val="00610DA4"/>
    <w:rsid w:val="00624DA8"/>
    <w:rsid w:val="00632867"/>
    <w:rsid w:val="006667C7"/>
    <w:rsid w:val="0066693B"/>
    <w:rsid w:val="00683B95"/>
    <w:rsid w:val="00693BB9"/>
    <w:rsid w:val="006C620C"/>
    <w:rsid w:val="006D256C"/>
    <w:rsid w:val="006D2EDD"/>
    <w:rsid w:val="006F7B73"/>
    <w:rsid w:val="00723EF1"/>
    <w:rsid w:val="007300A0"/>
    <w:rsid w:val="00732788"/>
    <w:rsid w:val="00755537"/>
    <w:rsid w:val="007628C6"/>
    <w:rsid w:val="00770DB8"/>
    <w:rsid w:val="0078015C"/>
    <w:rsid w:val="007820D1"/>
    <w:rsid w:val="007C0AE0"/>
    <w:rsid w:val="007D60D3"/>
    <w:rsid w:val="007E6CAB"/>
    <w:rsid w:val="008A3C79"/>
    <w:rsid w:val="008C22A8"/>
    <w:rsid w:val="008D34F4"/>
    <w:rsid w:val="008E6CC4"/>
    <w:rsid w:val="008F1D7B"/>
    <w:rsid w:val="00911C86"/>
    <w:rsid w:val="009323F9"/>
    <w:rsid w:val="00956F26"/>
    <w:rsid w:val="009626CF"/>
    <w:rsid w:val="00981F3D"/>
    <w:rsid w:val="0098409F"/>
    <w:rsid w:val="0099207C"/>
    <w:rsid w:val="009A475F"/>
    <w:rsid w:val="009C276F"/>
    <w:rsid w:val="00A14106"/>
    <w:rsid w:val="00A82626"/>
    <w:rsid w:val="00A93D6E"/>
    <w:rsid w:val="00AD242F"/>
    <w:rsid w:val="00B12FF7"/>
    <w:rsid w:val="00B21B59"/>
    <w:rsid w:val="00B37271"/>
    <w:rsid w:val="00BA4962"/>
    <w:rsid w:val="00BD1B45"/>
    <w:rsid w:val="00BD3983"/>
    <w:rsid w:val="00C43E61"/>
    <w:rsid w:val="00C56A0B"/>
    <w:rsid w:val="00C6061A"/>
    <w:rsid w:val="00C83CC3"/>
    <w:rsid w:val="00CA5046"/>
    <w:rsid w:val="00CA7B71"/>
    <w:rsid w:val="00CD53BF"/>
    <w:rsid w:val="00D15866"/>
    <w:rsid w:val="00D2256D"/>
    <w:rsid w:val="00D2429C"/>
    <w:rsid w:val="00D52591"/>
    <w:rsid w:val="00D9022C"/>
    <w:rsid w:val="00DA403A"/>
    <w:rsid w:val="00E26286"/>
    <w:rsid w:val="00E41A97"/>
    <w:rsid w:val="00E62AD9"/>
    <w:rsid w:val="00EF547A"/>
    <w:rsid w:val="00F40666"/>
    <w:rsid w:val="00F60941"/>
    <w:rsid w:val="00F656B8"/>
    <w:rsid w:val="00F76AE9"/>
    <w:rsid w:val="00F844A6"/>
    <w:rsid w:val="00FB06E3"/>
    <w:rsid w:val="00FB63EC"/>
    <w:rsid w:val="00FD4109"/>
    <w:rsid w:val="00FD7F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33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6E3"/>
    <w:pPr>
      <w:autoSpaceDE w:val="0"/>
      <w:autoSpaceDN w:val="0"/>
      <w:adjustRightInd w:val="0"/>
    </w:pPr>
    <w:rPr>
      <w:rFonts w:ascii="Arial" w:hAnsi="Arial" w:cs="Arial"/>
      <w:color w:val="000000"/>
      <w:sz w:val="24"/>
      <w:szCs w:val="24"/>
    </w:rPr>
  </w:style>
  <w:style w:type="character" w:styleId="Hyperlink">
    <w:name w:val="Hyperlink"/>
    <w:basedOn w:val="DefaultParagraphFont"/>
    <w:rsid w:val="00FB06E3"/>
    <w:rPr>
      <w:color w:val="0000FF"/>
      <w:u w:val="single"/>
    </w:rPr>
  </w:style>
  <w:style w:type="paragraph" w:styleId="Header">
    <w:name w:val="header"/>
    <w:basedOn w:val="Normal"/>
    <w:link w:val="HeaderChar"/>
    <w:uiPriority w:val="99"/>
    <w:rsid w:val="00B37271"/>
    <w:pPr>
      <w:tabs>
        <w:tab w:val="center" w:pos="4153"/>
        <w:tab w:val="right" w:pos="8306"/>
      </w:tabs>
    </w:pPr>
  </w:style>
  <w:style w:type="paragraph" w:styleId="Footer">
    <w:name w:val="footer"/>
    <w:basedOn w:val="Normal"/>
    <w:link w:val="FooterChar"/>
    <w:uiPriority w:val="99"/>
    <w:rsid w:val="00B37271"/>
    <w:pPr>
      <w:tabs>
        <w:tab w:val="center" w:pos="4153"/>
        <w:tab w:val="right" w:pos="8306"/>
      </w:tabs>
    </w:pPr>
  </w:style>
  <w:style w:type="character" w:styleId="FollowedHyperlink">
    <w:name w:val="FollowedHyperlink"/>
    <w:basedOn w:val="DefaultParagraphFont"/>
    <w:rsid w:val="00174264"/>
    <w:rPr>
      <w:color w:val="800080"/>
      <w:u w:val="single"/>
    </w:rPr>
  </w:style>
  <w:style w:type="paragraph" w:styleId="BalloonText">
    <w:name w:val="Balloon Text"/>
    <w:basedOn w:val="Normal"/>
    <w:semiHidden/>
    <w:rsid w:val="0099207C"/>
    <w:rPr>
      <w:rFonts w:ascii="Tahoma" w:hAnsi="Tahoma" w:cs="Tahoma"/>
      <w:sz w:val="16"/>
      <w:szCs w:val="16"/>
    </w:rPr>
  </w:style>
  <w:style w:type="character" w:styleId="Strong">
    <w:name w:val="Strong"/>
    <w:basedOn w:val="DefaultParagraphFont"/>
    <w:qFormat/>
    <w:rsid w:val="006F7B73"/>
    <w:rPr>
      <w:b/>
      <w:bCs/>
    </w:rPr>
  </w:style>
  <w:style w:type="table" w:styleId="TableGrid">
    <w:name w:val="Table Grid"/>
    <w:basedOn w:val="TableNormal"/>
    <w:rsid w:val="00D9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00A0"/>
    <w:pPr>
      <w:ind w:left="720"/>
    </w:pPr>
  </w:style>
  <w:style w:type="character" w:customStyle="1" w:styleId="FooterChar">
    <w:name w:val="Footer Char"/>
    <w:basedOn w:val="DefaultParagraphFont"/>
    <w:link w:val="Footer"/>
    <w:uiPriority w:val="99"/>
    <w:rsid w:val="00911C86"/>
    <w:rPr>
      <w:sz w:val="24"/>
      <w:szCs w:val="24"/>
    </w:rPr>
  </w:style>
  <w:style w:type="character" w:customStyle="1" w:styleId="HeaderChar">
    <w:name w:val="Header Char"/>
    <w:basedOn w:val="DefaultParagraphFont"/>
    <w:link w:val="Header"/>
    <w:uiPriority w:val="99"/>
    <w:rsid w:val="00911C86"/>
    <w:rPr>
      <w:sz w:val="24"/>
      <w:szCs w:val="24"/>
    </w:rPr>
  </w:style>
</w:styles>
</file>

<file path=word/webSettings.xml><?xml version="1.0" encoding="utf-8"?>
<w:webSettings xmlns:r="http://schemas.openxmlformats.org/officeDocument/2006/relationships" xmlns:w="http://schemas.openxmlformats.org/wordprocessingml/2006/main">
  <w:divs>
    <w:div w:id="489292681">
      <w:bodyDiv w:val="1"/>
      <w:marLeft w:val="0"/>
      <w:marRight w:val="0"/>
      <w:marTop w:val="0"/>
      <w:marBottom w:val="0"/>
      <w:divBdr>
        <w:top w:val="none" w:sz="0" w:space="0" w:color="auto"/>
        <w:left w:val="none" w:sz="0" w:space="0" w:color="auto"/>
        <w:bottom w:val="none" w:sz="0" w:space="0" w:color="auto"/>
        <w:right w:val="none" w:sz="0" w:space="0" w:color="auto"/>
      </w:divBdr>
      <w:divsChild>
        <w:div w:id="158735496">
          <w:marLeft w:val="0"/>
          <w:marRight w:val="0"/>
          <w:marTop w:val="0"/>
          <w:marBottom w:val="150"/>
          <w:divBdr>
            <w:top w:val="none" w:sz="0" w:space="0" w:color="auto"/>
            <w:left w:val="none" w:sz="0" w:space="0" w:color="auto"/>
            <w:bottom w:val="none" w:sz="0" w:space="0" w:color="auto"/>
            <w:right w:val="none" w:sz="0" w:space="0" w:color="auto"/>
          </w:divBdr>
          <w:divsChild>
            <w:div w:id="1382093765">
              <w:marLeft w:val="75"/>
              <w:marRight w:val="0"/>
              <w:marTop w:val="0"/>
              <w:marBottom w:val="0"/>
              <w:divBdr>
                <w:top w:val="single" w:sz="6" w:space="0" w:color="CCCC33"/>
                <w:left w:val="none" w:sz="0" w:space="0" w:color="auto"/>
                <w:bottom w:val="none" w:sz="0" w:space="0" w:color="auto"/>
                <w:right w:val="single" w:sz="6" w:space="0" w:color="CCCC33"/>
              </w:divBdr>
              <w:divsChild>
                <w:div w:id="540870932">
                  <w:marLeft w:val="0"/>
                  <w:marRight w:val="0"/>
                  <w:marTop w:val="0"/>
                  <w:marBottom w:val="0"/>
                  <w:divBdr>
                    <w:top w:val="none" w:sz="0" w:space="0" w:color="auto"/>
                    <w:left w:val="none" w:sz="0" w:space="0" w:color="auto"/>
                    <w:bottom w:val="none" w:sz="0" w:space="0" w:color="auto"/>
                    <w:right w:val="none" w:sz="0" w:space="0" w:color="auto"/>
                  </w:divBdr>
                  <w:divsChild>
                    <w:div w:id="7074884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3371">
      <w:bodyDiv w:val="1"/>
      <w:marLeft w:val="0"/>
      <w:marRight w:val="0"/>
      <w:marTop w:val="0"/>
      <w:marBottom w:val="0"/>
      <w:divBdr>
        <w:top w:val="none" w:sz="0" w:space="0" w:color="auto"/>
        <w:left w:val="none" w:sz="0" w:space="0" w:color="auto"/>
        <w:bottom w:val="none" w:sz="0" w:space="0" w:color="auto"/>
        <w:right w:val="none" w:sz="0" w:space="0" w:color="auto"/>
      </w:divBdr>
      <w:divsChild>
        <w:div w:id="166403295">
          <w:marLeft w:val="0"/>
          <w:marRight w:val="0"/>
          <w:marTop w:val="0"/>
          <w:marBottom w:val="150"/>
          <w:divBdr>
            <w:top w:val="none" w:sz="0" w:space="0" w:color="auto"/>
            <w:left w:val="none" w:sz="0" w:space="0" w:color="auto"/>
            <w:bottom w:val="none" w:sz="0" w:space="0" w:color="auto"/>
            <w:right w:val="none" w:sz="0" w:space="0" w:color="auto"/>
          </w:divBdr>
          <w:divsChild>
            <w:div w:id="1003507517">
              <w:marLeft w:val="75"/>
              <w:marRight w:val="0"/>
              <w:marTop w:val="0"/>
              <w:marBottom w:val="0"/>
              <w:divBdr>
                <w:top w:val="single" w:sz="6" w:space="0" w:color="CCCC33"/>
                <w:left w:val="none" w:sz="0" w:space="0" w:color="auto"/>
                <w:bottom w:val="none" w:sz="0" w:space="0" w:color="auto"/>
                <w:right w:val="single" w:sz="6" w:space="0" w:color="CCCC33"/>
              </w:divBdr>
              <w:divsChild>
                <w:div w:id="364258928">
                  <w:marLeft w:val="0"/>
                  <w:marRight w:val="0"/>
                  <w:marTop w:val="0"/>
                  <w:marBottom w:val="0"/>
                  <w:divBdr>
                    <w:top w:val="none" w:sz="0" w:space="0" w:color="auto"/>
                    <w:left w:val="none" w:sz="0" w:space="0" w:color="auto"/>
                    <w:bottom w:val="none" w:sz="0" w:space="0" w:color="auto"/>
                    <w:right w:val="none" w:sz="0" w:space="0" w:color="auto"/>
                  </w:divBdr>
                  <w:divsChild>
                    <w:div w:id="131931158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601568">
      <w:bodyDiv w:val="1"/>
      <w:marLeft w:val="0"/>
      <w:marRight w:val="0"/>
      <w:marTop w:val="0"/>
      <w:marBottom w:val="0"/>
      <w:divBdr>
        <w:top w:val="none" w:sz="0" w:space="0" w:color="auto"/>
        <w:left w:val="none" w:sz="0" w:space="0" w:color="auto"/>
        <w:bottom w:val="none" w:sz="0" w:space="0" w:color="auto"/>
        <w:right w:val="none" w:sz="0" w:space="0" w:color="auto"/>
      </w:divBdr>
      <w:divsChild>
        <w:div w:id="540872175">
          <w:marLeft w:val="0"/>
          <w:marRight w:val="0"/>
          <w:marTop w:val="0"/>
          <w:marBottom w:val="150"/>
          <w:divBdr>
            <w:top w:val="none" w:sz="0" w:space="0" w:color="auto"/>
            <w:left w:val="none" w:sz="0" w:space="0" w:color="auto"/>
            <w:bottom w:val="none" w:sz="0" w:space="0" w:color="auto"/>
            <w:right w:val="none" w:sz="0" w:space="0" w:color="auto"/>
          </w:divBdr>
          <w:divsChild>
            <w:div w:id="603919732">
              <w:marLeft w:val="75"/>
              <w:marRight w:val="0"/>
              <w:marTop w:val="0"/>
              <w:marBottom w:val="0"/>
              <w:divBdr>
                <w:top w:val="single" w:sz="6" w:space="0" w:color="CCCC33"/>
                <w:left w:val="none" w:sz="0" w:space="0" w:color="auto"/>
                <w:bottom w:val="none" w:sz="0" w:space="0" w:color="auto"/>
                <w:right w:val="single" w:sz="6" w:space="0" w:color="CCCC33"/>
              </w:divBdr>
              <w:divsChild>
                <w:div w:id="750347442">
                  <w:marLeft w:val="0"/>
                  <w:marRight w:val="0"/>
                  <w:marTop w:val="0"/>
                  <w:marBottom w:val="0"/>
                  <w:divBdr>
                    <w:top w:val="none" w:sz="0" w:space="0" w:color="auto"/>
                    <w:left w:val="none" w:sz="0" w:space="0" w:color="auto"/>
                    <w:bottom w:val="none" w:sz="0" w:space="0" w:color="auto"/>
                    <w:right w:val="none" w:sz="0" w:space="0" w:color="auto"/>
                  </w:divBdr>
                  <w:divsChild>
                    <w:div w:id="137569578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4680">
      <w:bodyDiv w:val="1"/>
      <w:marLeft w:val="0"/>
      <w:marRight w:val="0"/>
      <w:marTop w:val="0"/>
      <w:marBottom w:val="0"/>
      <w:divBdr>
        <w:top w:val="none" w:sz="0" w:space="0" w:color="auto"/>
        <w:left w:val="none" w:sz="0" w:space="0" w:color="auto"/>
        <w:bottom w:val="none" w:sz="0" w:space="0" w:color="auto"/>
        <w:right w:val="none" w:sz="0" w:space="0" w:color="auto"/>
      </w:divBdr>
      <w:divsChild>
        <w:div w:id="513153444">
          <w:marLeft w:val="0"/>
          <w:marRight w:val="0"/>
          <w:marTop w:val="0"/>
          <w:marBottom w:val="150"/>
          <w:divBdr>
            <w:top w:val="none" w:sz="0" w:space="0" w:color="auto"/>
            <w:left w:val="none" w:sz="0" w:space="0" w:color="auto"/>
            <w:bottom w:val="none" w:sz="0" w:space="0" w:color="auto"/>
            <w:right w:val="none" w:sz="0" w:space="0" w:color="auto"/>
          </w:divBdr>
          <w:divsChild>
            <w:div w:id="1943680922">
              <w:marLeft w:val="75"/>
              <w:marRight w:val="0"/>
              <w:marTop w:val="0"/>
              <w:marBottom w:val="0"/>
              <w:divBdr>
                <w:top w:val="single" w:sz="6" w:space="0" w:color="CCCC33"/>
                <w:left w:val="none" w:sz="0" w:space="0" w:color="auto"/>
                <w:bottom w:val="none" w:sz="0" w:space="0" w:color="auto"/>
                <w:right w:val="single" w:sz="6" w:space="0" w:color="CCCC33"/>
              </w:divBdr>
              <w:divsChild>
                <w:div w:id="1745297710">
                  <w:marLeft w:val="0"/>
                  <w:marRight w:val="0"/>
                  <w:marTop w:val="0"/>
                  <w:marBottom w:val="0"/>
                  <w:divBdr>
                    <w:top w:val="none" w:sz="0" w:space="0" w:color="auto"/>
                    <w:left w:val="none" w:sz="0" w:space="0" w:color="auto"/>
                    <w:bottom w:val="none" w:sz="0" w:space="0" w:color="auto"/>
                    <w:right w:val="none" w:sz="0" w:space="0" w:color="auto"/>
                  </w:divBdr>
                  <w:divsChild>
                    <w:div w:id="55982744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94479">
      <w:bodyDiv w:val="1"/>
      <w:marLeft w:val="0"/>
      <w:marRight w:val="0"/>
      <w:marTop w:val="0"/>
      <w:marBottom w:val="0"/>
      <w:divBdr>
        <w:top w:val="none" w:sz="0" w:space="0" w:color="auto"/>
        <w:left w:val="none" w:sz="0" w:space="0" w:color="auto"/>
        <w:bottom w:val="none" w:sz="0" w:space="0" w:color="auto"/>
        <w:right w:val="none" w:sz="0" w:space="0" w:color="auto"/>
      </w:divBdr>
      <w:divsChild>
        <w:div w:id="372122809">
          <w:marLeft w:val="0"/>
          <w:marRight w:val="0"/>
          <w:marTop w:val="0"/>
          <w:marBottom w:val="150"/>
          <w:divBdr>
            <w:top w:val="none" w:sz="0" w:space="0" w:color="auto"/>
            <w:left w:val="none" w:sz="0" w:space="0" w:color="auto"/>
            <w:bottom w:val="none" w:sz="0" w:space="0" w:color="auto"/>
            <w:right w:val="none" w:sz="0" w:space="0" w:color="auto"/>
          </w:divBdr>
          <w:divsChild>
            <w:div w:id="1730225762">
              <w:marLeft w:val="75"/>
              <w:marRight w:val="0"/>
              <w:marTop w:val="0"/>
              <w:marBottom w:val="0"/>
              <w:divBdr>
                <w:top w:val="single" w:sz="6" w:space="0" w:color="CCCC33"/>
                <w:left w:val="none" w:sz="0" w:space="0" w:color="auto"/>
                <w:bottom w:val="none" w:sz="0" w:space="0" w:color="auto"/>
                <w:right w:val="single" w:sz="6" w:space="0" w:color="CCCC33"/>
              </w:divBdr>
              <w:divsChild>
                <w:div w:id="1641299414">
                  <w:marLeft w:val="0"/>
                  <w:marRight w:val="0"/>
                  <w:marTop w:val="0"/>
                  <w:marBottom w:val="0"/>
                  <w:divBdr>
                    <w:top w:val="none" w:sz="0" w:space="0" w:color="auto"/>
                    <w:left w:val="none" w:sz="0" w:space="0" w:color="auto"/>
                    <w:bottom w:val="none" w:sz="0" w:space="0" w:color="auto"/>
                    <w:right w:val="none" w:sz="0" w:space="0" w:color="auto"/>
                  </w:divBdr>
                  <w:divsChild>
                    <w:div w:id="175309007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7821">
      <w:bodyDiv w:val="1"/>
      <w:marLeft w:val="0"/>
      <w:marRight w:val="0"/>
      <w:marTop w:val="0"/>
      <w:marBottom w:val="0"/>
      <w:divBdr>
        <w:top w:val="none" w:sz="0" w:space="0" w:color="auto"/>
        <w:left w:val="none" w:sz="0" w:space="0" w:color="auto"/>
        <w:bottom w:val="none" w:sz="0" w:space="0" w:color="auto"/>
        <w:right w:val="none" w:sz="0" w:space="0" w:color="auto"/>
      </w:divBdr>
      <w:divsChild>
        <w:div w:id="719742662">
          <w:marLeft w:val="0"/>
          <w:marRight w:val="0"/>
          <w:marTop w:val="0"/>
          <w:marBottom w:val="150"/>
          <w:divBdr>
            <w:top w:val="none" w:sz="0" w:space="0" w:color="auto"/>
            <w:left w:val="none" w:sz="0" w:space="0" w:color="auto"/>
            <w:bottom w:val="none" w:sz="0" w:space="0" w:color="auto"/>
            <w:right w:val="none" w:sz="0" w:space="0" w:color="auto"/>
          </w:divBdr>
          <w:divsChild>
            <w:div w:id="996420679">
              <w:marLeft w:val="75"/>
              <w:marRight w:val="0"/>
              <w:marTop w:val="0"/>
              <w:marBottom w:val="0"/>
              <w:divBdr>
                <w:top w:val="single" w:sz="6" w:space="0" w:color="CCCC33"/>
                <w:left w:val="none" w:sz="0" w:space="0" w:color="auto"/>
                <w:bottom w:val="none" w:sz="0" w:space="0" w:color="auto"/>
                <w:right w:val="single" w:sz="6" w:space="0" w:color="CCCC33"/>
              </w:divBdr>
              <w:divsChild>
                <w:div w:id="853612981">
                  <w:marLeft w:val="0"/>
                  <w:marRight w:val="0"/>
                  <w:marTop w:val="0"/>
                  <w:marBottom w:val="0"/>
                  <w:divBdr>
                    <w:top w:val="none" w:sz="0" w:space="0" w:color="auto"/>
                    <w:left w:val="none" w:sz="0" w:space="0" w:color="auto"/>
                    <w:bottom w:val="none" w:sz="0" w:space="0" w:color="auto"/>
                    <w:right w:val="none" w:sz="0" w:space="0" w:color="auto"/>
                  </w:divBdr>
                  <w:divsChild>
                    <w:div w:id="31669342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2389</CharactersWithSpaces>
  <SharedDoc>false</SharedDoc>
  <HLinks>
    <vt:vector size="18" baseType="variant">
      <vt:variant>
        <vt:i4>327716</vt:i4>
      </vt:variant>
      <vt:variant>
        <vt:i4>6</vt:i4>
      </vt:variant>
      <vt:variant>
        <vt:i4>0</vt:i4>
      </vt:variant>
      <vt:variant>
        <vt:i4>5</vt:i4>
      </vt:variant>
      <vt:variant>
        <vt:lpwstr>http://www.dfpni.gov.uk/9.09_overseas_subsistence_allowances.pdf</vt:lpwstr>
      </vt:variant>
      <vt:variant>
        <vt:lpwstr/>
      </vt:variant>
      <vt:variant>
        <vt:i4>3932197</vt:i4>
      </vt:variant>
      <vt:variant>
        <vt:i4>3</vt:i4>
      </vt:variant>
      <vt:variant>
        <vt:i4>0</vt:i4>
      </vt:variant>
      <vt:variant>
        <vt:i4>5</vt:i4>
      </vt:variant>
      <vt:variant>
        <vt:lpwstr>http://www.dfpni.gov.uk/9.13_subsistence_allowances.pdf</vt:lpwstr>
      </vt:variant>
      <vt:variant>
        <vt:lpwstr/>
      </vt:variant>
      <vt:variant>
        <vt:i4>2883621</vt:i4>
      </vt:variant>
      <vt:variant>
        <vt:i4>0</vt:i4>
      </vt:variant>
      <vt:variant>
        <vt:i4>0</vt:i4>
      </vt:variant>
      <vt:variant>
        <vt:i4>5</vt:i4>
      </vt:variant>
      <vt:variant>
        <vt:lpwstr>http://www.eucompni.gov.uk/resources/guidance/dfp-guidance-note-5-eligibility-of-expenditure-last-updated-jun-2011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Caves</dc:creator>
  <cp:lastModifiedBy>Karl Shields</cp:lastModifiedBy>
  <cp:revision>4</cp:revision>
  <cp:lastPrinted>2013-06-18T08:57:00Z</cp:lastPrinted>
  <dcterms:created xsi:type="dcterms:W3CDTF">2013-08-06T15:10:00Z</dcterms:created>
  <dcterms:modified xsi:type="dcterms:W3CDTF">2014-07-02T08:29:00Z</dcterms:modified>
</cp:coreProperties>
</file>